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auto"/>
          <w:sz w:val="32"/>
          <w:szCs w:val="32"/>
          <w:lang w:bidi="ar"/>
        </w:rPr>
      </w:pPr>
      <w:r>
        <w:rPr>
          <w:rFonts w:hint="eastAsia" w:ascii="黑体" w:hAnsi="黑体" w:eastAsia="黑体" w:cs="宋体"/>
          <w:color w:val="auto"/>
          <w:sz w:val="32"/>
          <w:szCs w:val="32"/>
          <w:lang w:bidi="ar"/>
        </w:rPr>
        <w:t>附件7：</w:t>
      </w: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rPr>
          <w:rFonts w:ascii="华文中宋" w:hAnsi="华文中宋" w:eastAsia="华文中宋" w:cs="宋体"/>
          <w:b/>
          <w:color w:val="auto"/>
          <w:kern w:val="0"/>
          <w:sz w:val="52"/>
          <w:szCs w:val="52"/>
        </w:rPr>
      </w:pPr>
    </w:p>
    <w:p>
      <w:pPr>
        <w:spacing w:line="540" w:lineRule="exact"/>
        <w:jc w:val="center"/>
        <w:rPr>
          <w:rFonts w:ascii="华文中宋" w:hAnsi="华文中宋" w:eastAsia="华文中宋" w:cs="宋体"/>
          <w:b/>
          <w:color w:val="auto"/>
          <w:kern w:val="0"/>
          <w:sz w:val="52"/>
          <w:szCs w:val="52"/>
        </w:rPr>
      </w:pPr>
    </w:p>
    <w:p>
      <w:pPr>
        <w:spacing w:line="540" w:lineRule="exact"/>
        <w:jc w:val="center"/>
        <w:rPr>
          <w:rFonts w:ascii="方正小标宋_GBK" w:hAnsi="华文中宋" w:eastAsia="方正小标宋_GBK" w:cs="宋体"/>
          <w:b/>
          <w:color w:val="auto"/>
          <w:kern w:val="0"/>
          <w:sz w:val="48"/>
          <w:szCs w:val="48"/>
        </w:rPr>
      </w:pPr>
      <w:bookmarkStart w:id="0" w:name="_Hlk70355250"/>
      <w:r>
        <w:rPr>
          <w:rFonts w:hint="eastAsia" w:ascii="方正小标宋_GBK" w:hAnsi="华文中宋" w:eastAsia="方正小标宋_GBK" w:cs="宋体"/>
          <w:b/>
          <w:color w:val="auto"/>
          <w:kern w:val="0"/>
          <w:sz w:val="48"/>
          <w:szCs w:val="48"/>
        </w:rPr>
        <w:t>伊犁州</w:t>
      </w:r>
      <w:r>
        <w:rPr>
          <w:rFonts w:hint="eastAsia" w:ascii="方正小标宋_GBK" w:hAnsi="华文中宋" w:eastAsia="方正小标宋_GBK" w:cs="宋体"/>
          <w:b/>
          <w:color w:val="auto"/>
          <w:kern w:val="0"/>
          <w:sz w:val="48"/>
          <w:szCs w:val="48"/>
          <w:lang w:eastAsia="zh-CN"/>
        </w:rPr>
        <w:t>特克斯县退役军人事务局</w:t>
      </w:r>
      <w:r>
        <w:rPr>
          <w:rFonts w:hint="eastAsia" w:ascii="方正小标宋_GBK" w:hAnsi="华文中宋" w:eastAsia="方正小标宋_GBK" w:cs="宋体"/>
          <w:b/>
          <w:color w:val="auto"/>
          <w:kern w:val="0"/>
          <w:sz w:val="48"/>
          <w:szCs w:val="48"/>
        </w:rPr>
        <w:t>部门单位整体支出绩效自评报告</w:t>
      </w:r>
    </w:p>
    <w:bookmarkEnd w:id="0"/>
    <w:p>
      <w:pPr>
        <w:spacing w:line="540" w:lineRule="exact"/>
        <w:jc w:val="center"/>
        <w:rPr>
          <w:rFonts w:ascii="华文中宋" w:hAnsi="华文中宋" w:eastAsia="华文中宋" w:cs="宋体"/>
          <w:b/>
          <w:color w:val="auto"/>
          <w:kern w:val="0"/>
          <w:sz w:val="52"/>
          <w:szCs w:val="52"/>
        </w:rPr>
      </w:pPr>
    </w:p>
    <w:p>
      <w:pPr>
        <w:spacing w:line="540" w:lineRule="exact"/>
        <w:jc w:val="center"/>
        <w:rPr>
          <w:rFonts w:hAnsi="宋体" w:eastAsia="仿宋_GB2312" w:cs="宋体"/>
          <w:color w:val="auto"/>
          <w:kern w:val="0"/>
          <w:sz w:val="36"/>
          <w:szCs w:val="36"/>
        </w:rPr>
      </w:pPr>
      <w:r>
        <w:rPr>
          <w:rFonts w:hint="eastAsia" w:hAnsi="宋体" w:eastAsia="仿宋_GB2312" w:cs="宋体"/>
          <w:color w:val="auto"/>
          <w:kern w:val="0"/>
          <w:sz w:val="36"/>
          <w:szCs w:val="36"/>
        </w:rPr>
        <w:t>（</w:t>
      </w:r>
      <w:r>
        <w:rPr>
          <w:rFonts w:hAnsi="宋体" w:eastAsia="仿宋_GB2312" w:cs="宋体"/>
          <w:color w:val="auto"/>
          <w:kern w:val="0"/>
          <w:sz w:val="36"/>
          <w:szCs w:val="36"/>
        </w:rPr>
        <w:t>2021</w:t>
      </w:r>
      <w:r>
        <w:rPr>
          <w:rFonts w:hint="eastAsia" w:hAnsi="宋体" w:eastAsia="仿宋_GB2312" w:cs="宋体"/>
          <w:color w:val="auto"/>
          <w:kern w:val="0"/>
          <w:sz w:val="36"/>
          <w:szCs w:val="36"/>
        </w:rPr>
        <w:t>年度）</w:t>
      </w: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jc w:val="center"/>
        <w:rPr>
          <w:rFonts w:hAnsi="宋体" w:eastAsia="仿宋_GB2312" w:cs="宋体"/>
          <w:color w:val="auto"/>
          <w:kern w:val="0"/>
          <w:sz w:val="30"/>
          <w:szCs w:val="30"/>
        </w:rPr>
      </w:pPr>
    </w:p>
    <w:p>
      <w:pPr>
        <w:spacing w:line="540" w:lineRule="exact"/>
        <w:rPr>
          <w:rFonts w:hAnsi="宋体" w:eastAsia="仿宋_GB2312" w:cs="宋体"/>
          <w:color w:val="auto"/>
          <w:kern w:val="0"/>
          <w:sz w:val="30"/>
          <w:szCs w:val="30"/>
        </w:rPr>
      </w:pP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 xml:space="preserve">  </w:t>
      </w:r>
    </w:p>
    <w:p>
      <w:pPr>
        <w:spacing w:line="700" w:lineRule="exact"/>
        <w:jc w:val="left"/>
        <w:rPr>
          <w:rFonts w:hint="eastAsia" w:hAnsi="宋体" w:eastAsia="仿宋_GB2312" w:cs="宋体"/>
          <w:color w:val="auto"/>
          <w:kern w:val="0"/>
          <w:sz w:val="36"/>
          <w:szCs w:val="36"/>
          <w:lang w:eastAsia="zh-CN"/>
        </w:rPr>
      </w:pPr>
      <w:r>
        <w:rPr>
          <w:rFonts w:hint="eastAsia" w:hAnsi="宋体" w:eastAsia="仿宋_GB2312" w:cs="宋体"/>
          <w:color w:val="auto"/>
          <w:kern w:val="0"/>
          <w:sz w:val="36"/>
          <w:szCs w:val="36"/>
        </w:rPr>
        <w:t>部门单位名称（公章）：</w:t>
      </w:r>
      <w:r>
        <w:rPr>
          <w:rFonts w:hint="eastAsia" w:hAnsi="宋体" w:eastAsia="仿宋_GB2312" w:cs="宋体"/>
          <w:color w:val="auto"/>
          <w:kern w:val="0"/>
          <w:sz w:val="36"/>
          <w:szCs w:val="36"/>
          <w:lang w:eastAsia="zh-CN"/>
        </w:rPr>
        <w:t>特克斯县退役军人事务局</w:t>
      </w:r>
    </w:p>
    <w:p>
      <w:pPr>
        <w:spacing w:line="700" w:lineRule="exact"/>
        <w:jc w:val="left"/>
        <w:rPr>
          <w:rFonts w:hAnsi="宋体" w:eastAsia="仿宋_GB2312" w:cs="宋体"/>
          <w:color w:val="auto"/>
          <w:kern w:val="0"/>
          <w:sz w:val="36"/>
          <w:szCs w:val="36"/>
        </w:rPr>
      </w:pPr>
      <w:r>
        <w:rPr>
          <w:rFonts w:hint="eastAsia" w:hAnsi="宋体" w:eastAsia="仿宋_GB2312" w:cs="宋体"/>
          <w:color w:val="auto"/>
          <w:kern w:val="0"/>
          <w:sz w:val="36"/>
          <w:szCs w:val="36"/>
        </w:rPr>
        <w:t>填报时间：</w:t>
      </w:r>
      <w:r>
        <w:rPr>
          <w:rFonts w:hAnsi="宋体" w:eastAsia="仿宋_GB2312" w:cs="宋体"/>
          <w:color w:val="auto"/>
          <w:kern w:val="0"/>
          <w:sz w:val="36"/>
          <w:szCs w:val="36"/>
        </w:rPr>
        <w:t>2022</w:t>
      </w:r>
      <w:r>
        <w:rPr>
          <w:rFonts w:hint="eastAsia" w:hAnsi="宋体" w:eastAsia="仿宋_GB2312" w:cs="宋体"/>
          <w:color w:val="auto"/>
          <w:kern w:val="0"/>
          <w:sz w:val="36"/>
          <w:szCs w:val="36"/>
        </w:rPr>
        <w:t>年</w:t>
      </w:r>
      <w:r>
        <w:rPr>
          <w:rFonts w:hint="eastAsia" w:hAnsi="宋体" w:eastAsia="仿宋_GB2312" w:cs="宋体"/>
          <w:color w:val="auto"/>
          <w:kern w:val="0"/>
          <w:sz w:val="36"/>
          <w:szCs w:val="36"/>
          <w:lang w:val="en-US" w:eastAsia="zh-CN"/>
        </w:rPr>
        <w:t>4</w:t>
      </w:r>
      <w:r>
        <w:rPr>
          <w:rFonts w:hint="eastAsia" w:hAnsi="宋体" w:eastAsia="仿宋_GB2312" w:cs="宋体"/>
          <w:color w:val="auto"/>
          <w:kern w:val="0"/>
          <w:sz w:val="36"/>
          <w:szCs w:val="36"/>
        </w:rPr>
        <w:t>月</w:t>
      </w:r>
      <w:r>
        <w:rPr>
          <w:rFonts w:hint="eastAsia" w:hAnsi="宋体" w:eastAsia="仿宋_GB2312" w:cs="宋体"/>
          <w:color w:val="auto"/>
          <w:kern w:val="0"/>
          <w:sz w:val="36"/>
          <w:szCs w:val="36"/>
          <w:lang w:val="en-US" w:eastAsia="zh-CN"/>
        </w:rPr>
        <w:t>26</w:t>
      </w:r>
      <w:r>
        <w:rPr>
          <w:rFonts w:hint="eastAsia" w:hAnsi="宋体" w:eastAsia="仿宋_GB2312" w:cs="宋体"/>
          <w:color w:val="auto"/>
          <w:kern w:val="0"/>
          <w:sz w:val="36"/>
          <w:szCs w:val="36"/>
        </w:rPr>
        <w:t>日</w:t>
      </w:r>
    </w:p>
    <w:p>
      <w:pPr>
        <w:pStyle w:val="3"/>
        <w:spacing w:line="360" w:lineRule="auto"/>
        <w:rPr>
          <w:rFonts w:ascii="仿宋" w:hAnsi="仿宋" w:eastAsia="仿宋"/>
          <w:color w:val="auto"/>
          <w:sz w:val="36"/>
          <w:szCs w:val="36"/>
          <w:lang w:bidi="ar"/>
        </w:rPr>
      </w:pPr>
      <w:bookmarkStart w:id="1" w:name="_Toc70450289"/>
      <w:r>
        <w:rPr>
          <w:rFonts w:hint="eastAsia" w:ascii="仿宋" w:hAnsi="仿宋" w:eastAsia="仿宋"/>
          <w:color w:val="auto"/>
          <w:sz w:val="36"/>
          <w:szCs w:val="36"/>
          <w:lang w:bidi="ar"/>
        </w:rPr>
        <w:t>一、基本概况</w:t>
      </w:r>
      <w:bookmarkEnd w:id="1"/>
    </w:p>
    <w:p>
      <w:pPr>
        <w:pStyle w:val="4"/>
        <w:spacing w:line="360" w:lineRule="auto"/>
        <w:rPr>
          <w:rStyle w:val="16"/>
          <w:rFonts w:ascii="仿宋" w:hAnsi="仿宋" w:eastAsia="仿宋"/>
          <w:b/>
          <w:bCs/>
          <w:color w:val="auto"/>
        </w:rPr>
      </w:pPr>
      <w:bookmarkStart w:id="2" w:name="_Toc70450290"/>
      <w:r>
        <w:rPr>
          <w:rStyle w:val="16"/>
          <w:rFonts w:hint="eastAsia" w:ascii="仿宋" w:hAnsi="仿宋" w:eastAsia="仿宋"/>
          <w:b/>
          <w:bCs/>
          <w:color w:val="auto"/>
        </w:rPr>
        <w:t>（一）部门单位基本情况</w:t>
      </w:r>
      <w:bookmarkEnd w:id="2"/>
    </w:p>
    <w:p>
      <w:pPr>
        <w:pStyle w:val="5"/>
        <w:spacing w:line="360" w:lineRule="auto"/>
        <w:ind w:firstLine="562" w:firstLineChars="200"/>
        <w:rPr>
          <w:rStyle w:val="16"/>
          <w:rFonts w:hint="eastAsia" w:ascii="仿宋" w:hAnsi="仿宋" w:eastAsia="仿宋"/>
          <w:b/>
          <w:bCs/>
          <w:color w:val="auto"/>
        </w:rPr>
      </w:pPr>
      <w:bookmarkStart w:id="3" w:name="_Toc70450291"/>
      <w:r>
        <w:rPr>
          <w:rStyle w:val="16"/>
          <w:rFonts w:ascii="仿宋" w:hAnsi="仿宋" w:eastAsia="仿宋"/>
          <w:b/>
          <w:bCs/>
          <w:color w:val="auto"/>
        </w:rPr>
        <w:t>1</w:t>
      </w:r>
      <w:r>
        <w:rPr>
          <w:rStyle w:val="16"/>
          <w:rFonts w:hint="eastAsia" w:ascii="仿宋" w:hAnsi="仿宋" w:eastAsia="仿宋"/>
          <w:b/>
          <w:bCs/>
          <w:color w:val="auto"/>
        </w:rPr>
        <w:t>、主要职能</w:t>
      </w:r>
      <w:bookmarkEnd w:id="3"/>
    </w:p>
    <w:p>
      <w:pPr>
        <w:pStyle w:val="5"/>
        <w:pageBreakBefore w:val="0"/>
        <w:widowControl w:val="0"/>
        <w:kinsoku/>
        <w:wordWrap/>
        <w:overflowPunct/>
        <w:topLinePunct w:val="0"/>
        <w:autoSpaceDE/>
        <w:autoSpaceDN/>
        <w:bidi w:val="0"/>
        <w:adjustRightInd/>
        <w:snapToGrid/>
        <w:spacing w:before="0" w:after="0"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一）贯彻执行国家、自治区、自治州退役军人思想政治、管理保障和安置优抚等工作的政策、法规，褒扬彰显退役军人为党好、国家和人民牺牲奉献的精神风范和价值导向，发挥退役军人在社会稳定和长治久安总目标中的作用。</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二）负责军队转业干部、复员干部、离休退休干部、退役士兵和无军籍退休退职职工的移交安置工作和自主择业、就业退役军人服务管理工作。落实退役军人留疆安置优惠优待政策。促进退役军人留在新疆，奉献基层，配合做好落实退役士兵留疆安置工作。</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（三）组织落实退役军人教育培训工作，协调扶持退役军人和随军随调家属就业创业。</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（四）会同有关部分执行落实国家、自治区退役军人特殊保障政策。</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（五）组织落实移交地方的离休退休军人、符合条件的其他退役军人和无军籍退休退职职工的住房保障，以及退役军人医疗保障、社会保险等待遇保障工作。</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（六）组织指导伤病残退役军人服务管理和抚恤工作，落实有关退役军人医疗、疗养、养老等机构的规划政策并指导实施。承担不适宜继续服役的伤病残军人相关工作，指导军供服务保障工作。</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（七）组织落实县拥军优属工作。负责现役军人、退役军人、军属优待、抚恤等工作，落实国民党抗战老兵等有关人员优待政策。</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（八）负责烈士及退役军人荣誉奖励等工作。总结表彰和宣扬退役军人、退役军人工作单位和个人先进典型事迹。</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hint="eastAsia" w:ascii="仿宋_GB2312" w:hAnsi="仿宋_GB2312" w:eastAsia="仿宋_GB2312" w:cs="仿宋_GB2312"/>
          <w:b w:val="0"/>
          <w:bCs/>
          <w:color w:val="auto"/>
          <w:spacing w:val="-4"/>
          <w:sz w:val="28"/>
          <w:szCs w:val="28"/>
        </w:rPr>
      </w:pPr>
      <w:r>
        <w:rPr>
          <w:rStyle w:val="16"/>
          <w:rFonts w:hint="eastAsia" w:ascii="仿宋_GB2312" w:hAnsi="仿宋_GB2312" w:eastAsia="仿宋_GB2312" w:cs="仿宋_GB2312"/>
          <w:b w:val="0"/>
          <w:bCs/>
          <w:color w:val="auto"/>
          <w:spacing w:val="-4"/>
          <w:sz w:val="28"/>
          <w:szCs w:val="28"/>
        </w:rPr>
        <w:t>（九）落实退役军人相关法律法规和政策</w:t>
      </w:r>
      <w:r>
        <w:rPr>
          <w:rStyle w:val="16"/>
          <w:rFonts w:hint="eastAsia" w:ascii="仿宋_GB2312" w:hAnsi="仿宋_GB2312" w:eastAsia="仿宋_GB2312" w:cs="仿宋_GB2312"/>
          <w:b w:val="0"/>
          <w:bCs/>
          <w:color w:val="auto"/>
          <w:spacing w:val="-4"/>
          <w:sz w:val="28"/>
          <w:szCs w:val="28"/>
          <w:lang w:eastAsia="zh-CN"/>
        </w:rPr>
        <w:t>措施</w:t>
      </w:r>
      <w:r>
        <w:rPr>
          <w:rStyle w:val="16"/>
          <w:rFonts w:hint="eastAsia" w:ascii="仿宋_GB2312" w:hAnsi="仿宋_GB2312" w:eastAsia="仿宋_GB2312" w:cs="仿宋_GB2312"/>
          <w:b w:val="0"/>
          <w:bCs/>
          <w:color w:val="auto"/>
          <w:spacing w:val="-4"/>
          <w:sz w:val="28"/>
          <w:szCs w:val="28"/>
        </w:rPr>
        <w:t>，落实优抚对象和生活困难的部分退役军人生活、医疗等救济工作。</w:t>
      </w:r>
    </w:p>
    <w:p>
      <w:pPr>
        <w:pageBreakBefore w:val="0"/>
        <w:widowControl w:val="0"/>
        <w:kinsoku/>
        <w:wordWrap/>
        <w:overflowPunct/>
        <w:topLinePunct w:val="0"/>
        <w:autoSpaceDE/>
        <w:autoSpaceDN/>
        <w:bidi w:val="0"/>
        <w:adjustRightInd/>
        <w:snapToGrid/>
        <w:spacing w:line="560" w:lineRule="exact"/>
        <w:ind w:firstLine="544" w:firstLineChars="200"/>
        <w:textAlignment w:val="auto"/>
        <w:rPr>
          <w:rStyle w:val="16"/>
          <w:rFonts w:asciiTheme="minorEastAsia" w:hAnsiTheme="minorEastAsia"/>
          <w:bCs w:val="0"/>
          <w:color w:val="auto"/>
          <w:spacing w:val="-4"/>
          <w:sz w:val="28"/>
          <w:szCs w:val="28"/>
        </w:rPr>
      </w:pPr>
      <w:r>
        <w:rPr>
          <w:rStyle w:val="16"/>
          <w:rFonts w:hint="eastAsia" w:ascii="仿宋_GB2312" w:hAnsi="仿宋_GB2312" w:eastAsia="仿宋_GB2312" w:cs="仿宋_GB2312"/>
          <w:b w:val="0"/>
          <w:bCs/>
          <w:color w:val="auto"/>
          <w:spacing w:val="-4"/>
          <w:sz w:val="28"/>
          <w:szCs w:val="28"/>
        </w:rPr>
        <w:t>（十）完成县委、县人民政府交办的其他工作任务。</w:t>
      </w:r>
    </w:p>
    <w:p>
      <w:pPr>
        <w:pStyle w:val="5"/>
        <w:spacing w:line="360" w:lineRule="auto"/>
        <w:ind w:firstLine="562" w:firstLineChars="200"/>
        <w:rPr>
          <w:rStyle w:val="16"/>
          <w:rFonts w:ascii="仿宋" w:hAnsi="仿宋" w:eastAsia="仿宋"/>
          <w:b/>
          <w:bCs/>
          <w:color w:val="auto"/>
        </w:rPr>
      </w:pPr>
      <w:bookmarkStart w:id="4" w:name="_Toc70450292"/>
      <w:r>
        <w:rPr>
          <w:rStyle w:val="16"/>
          <w:rFonts w:hint="eastAsia" w:ascii="仿宋" w:hAnsi="仿宋" w:eastAsia="仿宋"/>
          <w:b/>
          <w:bCs/>
          <w:color w:val="auto"/>
        </w:rPr>
        <w:t>2、机构人员构成</w:t>
      </w:r>
      <w:bookmarkEnd w:id="4"/>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（1）组织机构设置：</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特克斯县退役军人事务局</w:t>
      </w:r>
      <w:r>
        <w:rPr>
          <w:rStyle w:val="16"/>
          <w:rFonts w:hint="eastAsia" w:ascii="仿宋_GB2312" w:hAnsi="楷体" w:eastAsia="仿宋_GB2312"/>
          <w:b w:val="0"/>
          <w:color w:val="auto"/>
          <w:spacing w:val="-4"/>
          <w:sz w:val="28"/>
          <w:szCs w:val="28"/>
        </w:rPr>
        <w:t>无下属预算单位，下设</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个</w:t>
      </w:r>
      <w:r>
        <w:rPr>
          <w:rStyle w:val="16"/>
          <w:rFonts w:hint="eastAsia" w:ascii="仿宋_GB2312" w:hAnsi="楷体" w:eastAsia="仿宋_GB2312"/>
          <w:b w:val="0"/>
          <w:color w:val="auto"/>
          <w:spacing w:val="-4"/>
          <w:sz w:val="28"/>
          <w:szCs w:val="28"/>
          <w:lang w:eastAsia="zh-CN"/>
        </w:rPr>
        <w:t>科</w:t>
      </w:r>
      <w:r>
        <w:rPr>
          <w:rStyle w:val="16"/>
          <w:rFonts w:hint="eastAsia" w:ascii="仿宋_GB2312" w:hAnsi="楷体" w:eastAsia="仿宋_GB2312"/>
          <w:b w:val="0"/>
          <w:color w:val="auto"/>
          <w:spacing w:val="-4"/>
          <w:sz w:val="28"/>
          <w:szCs w:val="28"/>
        </w:rPr>
        <w:t>室，分别是：</w:t>
      </w:r>
      <w:r>
        <w:rPr>
          <w:rStyle w:val="16"/>
          <w:rFonts w:hint="eastAsia" w:ascii="仿宋_GB2312" w:hAnsi="楷体" w:eastAsia="仿宋_GB2312"/>
          <w:b w:val="0"/>
          <w:color w:val="auto"/>
          <w:spacing w:val="-4"/>
          <w:sz w:val="28"/>
          <w:szCs w:val="28"/>
          <w:lang w:eastAsia="zh-CN"/>
        </w:rPr>
        <w:t>综合科；</w:t>
      </w:r>
      <w:r>
        <w:rPr>
          <w:rStyle w:val="16"/>
          <w:rFonts w:hint="eastAsia" w:ascii="仿宋_GB2312" w:hAnsi="楷体" w:eastAsia="仿宋_GB2312"/>
          <w:b w:val="0"/>
          <w:color w:val="auto"/>
          <w:spacing w:val="-4"/>
          <w:sz w:val="28"/>
          <w:szCs w:val="28"/>
          <w:lang w:val="en-US" w:eastAsia="zh-CN"/>
        </w:rPr>
        <w:t>服务中心</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rPr>
        <w:t>（2）2021年</w:t>
      </w:r>
      <w:r>
        <w:rPr>
          <w:rStyle w:val="16"/>
          <w:rFonts w:hint="eastAsia" w:ascii="仿宋_GB2312" w:hAnsi="楷体" w:eastAsia="仿宋_GB2312"/>
          <w:b w:val="0"/>
          <w:color w:val="auto"/>
          <w:spacing w:val="-4"/>
          <w:sz w:val="28"/>
          <w:szCs w:val="28"/>
          <w:lang w:eastAsia="zh-CN"/>
        </w:rPr>
        <w:t>特克斯县退役军人事务局</w:t>
      </w:r>
      <w:r>
        <w:rPr>
          <w:rStyle w:val="16"/>
          <w:rFonts w:hint="eastAsia" w:ascii="仿宋_GB2312" w:hAnsi="楷体" w:eastAsia="仿宋_GB2312"/>
          <w:b w:val="0"/>
          <w:color w:val="auto"/>
          <w:spacing w:val="-4"/>
          <w:sz w:val="28"/>
          <w:szCs w:val="28"/>
        </w:rPr>
        <w:t>实有在职人员</w:t>
      </w:r>
      <w:r>
        <w:rPr>
          <w:rStyle w:val="16"/>
          <w:rFonts w:hint="eastAsia" w:ascii="仿宋_GB2312" w:hAnsi="楷体" w:eastAsia="仿宋_GB2312"/>
          <w:b w:val="0"/>
          <w:color w:val="auto"/>
          <w:spacing w:val="-4"/>
          <w:sz w:val="28"/>
          <w:szCs w:val="28"/>
          <w:highlight w:val="none"/>
        </w:rPr>
        <w:t>为</w:t>
      </w:r>
      <w:r>
        <w:rPr>
          <w:rStyle w:val="16"/>
          <w:rFonts w:hint="eastAsia" w:ascii="仿宋_GB2312" w:hAnsi="楷体" w:eastAsia="仿宋_GB2312"/>
          <w:b w:val="0"/>
          <w:color w:val="auto"/>
          <w:spacing w:val="-4"/>
          <w:sz w:val="28"/>
          <w:szCs w:val="28"/>
          <w:highlight w:val="none"/>
          <w:lang w:val="en-US" w:eastAsia="zh-CN"/>
        </w:rPr>
        <w:t>9</w:t>
      </w:r>
      <w:r>
        <w:rPr>
          <w:rStyle w:val="16"/>
          <w:rFonts w:hint="eastAsia" w:ascii="仿宋_GB2312" w:hAnsi="楷体" w:eastAsia="仿宋_GB2312"/>
          <w:b w:val="0"/>
          <w:color w:val="auto"/>
          <w:spacing w:val="-4"/>
          <w:sz w:val="28"/>
          <w:szCs w:val="28"/>
          <w:highlight w:val="none"/>
        </w:rPr>
        <w:t>人，其中：</w:t>
      </w:r>
    </w:p>
    <w:p>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行政在职</w:t>
      </w:r>
      <w:r>
        <w:rPr>
          <w:rStyle w:val="16"/>
          <w:rFonts w:hint="eastAsia" w:ascii="仿宋_GB2312" w:hAnsi="楷体" w:eastAsia="仿宋_GB2312"/>
          <w:b w:val="0"/>
          <w:color w:val="auto"/>
          <w:spacing w:val="-4"/>
          <w:sz w:val="28"/>
          <w:szCs w:val="28"/>
          <w:highlight w:val="none"/>
          <w:lang w:val="en-US" w:eastAsia="zh-CN"/>
        </w:rPr>
        <w:t>7</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5</w:t>
      </w:r>
      <w:r>
        <w:rPr>
          <w:rStyle w:val="16"/>
          <w:rFonts w:hint="eastAsia" w:ascii="仿宋_GB2312" w:hAnsi="楷体" w:eastAsia="仿宋_GB2312"/>
          <w:b w:val="0"/>
          <w:color w:val="auto"/>
          <w:spacing w:val="-4"/>
          <w:sz w:val="28"/>
          <w:szCs w:val="28"/>
          <w:highlight w:val="none"/>
        </w:rPr>
        <w:t>人），同比上年增加</w:t>
      </w:r>
      <w:r>
        <w:rPr>
          <w:rStyle w:val="16"/>
          <w:rFonts w:hint="eastAsia" w:ascii="仿宋_GB2312" w:hAnsi="楷体" w:eastAsia="仿宋_GB2312"/>
          <w:b w:val="0"/>
          <w:color w:val="auto"/>
          <w:spacing w:val="-4"/>
          <w:sz w:val="28"/>
          <w:szCs w:val="28"/>
          <w:highlight w:val="none"/>
          <w:lang w:val="en-US" w:eastAsia="zh-CN"/>
        </w:rPr>
        <w:t>2</w:t>
      </w:r>
      <w:r>
        <w:rPr>
          <w:rStyle w:val="16"/>
          <w:rFonts w:hint="eastAsia" w:ascii="仿宋_GB2312" w:hAnsi="楷体" w:eastAsia="仿宋_GB2312"/>
          <w:b w:val="0"/>
          <w:color w:val="auto"/>
          <w:spacing w:val="-4"/>
          <w:sz w:val="28"/>
          <w:szCs w:val="28"/>
          <w:highlight w:val="none"/>
        </w:rPr>
        <w:t>人；</w:t>
      </w:r>
    </w:p>
    <w:p>
      <w:pPr>
        <w:spacing w:line="360" w:lineRule="auto"/>
        <w:ind w:firstLine="544" w:firstLineChars="200"/>
        <w:rPr>
          <w:rStyle w:val="16"/>
          <w:rFonts w:hint="default"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事业在职2人（上年2人），同比上年增加0人；</w:t>
      </w:r>
    </w:p>
    <w:p>
      <w:pPr>
        <w:spacing w:line="360" w:lineRule="auto"/>
        <w:ind w:firstLine="544" w:firstLineChars="200"/>
        <w:rPr>
          <w:rStyle w:val="16"/>
          <w:rFonts w:hint="eastAsia" w:ascii="仿宋_GB2312" w:hAnsi="楷体" w:eastAsia="仿宋_GB2312"/>
          <w:b w:val="0"/>
          <w:color w:val="auto"/>
          <w:spacing w:val="-4"/>
          <w:sz w:val="28"/>
          <w:szCs w:val="28"/>
          <w:highlight w:val="none"/>
          <w:lang w:eastAsia="zh-CN"/>
        </w:rPr>
      </w:pPr>
      <w:r>
        <w:rPr>
          <w:rStyle w:val="16"/>
          <w:rFonts w:hint="eastAsia" w:ascii="仿宋_GB2312" w:hAnsi="楷体" w:eastAsia="仿宋_GB2312"/>
          <w:b w:val="0"/>
          <w:color w:val="auto"/>
          <w:spacing w:val="-4"/>
          <w:sz w:val="28"/>
          <w:szCs w:val="28"/>
          <w:highlight w:val="none"/>
        </w:rPr>
        <w:t>实有离休人员</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w:t>
      </w:r>
      <w:r>
        <w:rPr>
          <w:rFonts w:hint="eastAsia" w:ascii="仿宋_GB2312" w:hAnsi="楷体" w:eastAsia="仿宋_GB2312"/>
          <w:b w:val="0"/>
          <w:bCs/>
          <w:color w:val="auto"/>
          <w:spacing w:val="-4"/>
          <w:sz w:val="28"/>
          <w:szCs w:val="28"/>
          <w:highlight w:val="none"/>
          <w:lang w:val="en-US" w:eastAsia="zh-CN"/>
        </w:rPr>
        <w:t>与上年一致</w:t>
      </w:r>
      <w:r>
        <w:rPr>
          <w:rStyle w:val="16"/>
          <w:rFonts w:hint="eastAsia" w:ascii="仿宋_GB2312" w:hAnsi="楷体" w:eastAsia="仿宋_GB2312"/>
          <w:b w:val="0"/>
          <w:color w:val="auto"/>
          <w:spacing w:val="-4"/>
          <w:sz w:val="28"/>
          <w:szCs w:val="28"/>
          <w:highlight w:val="none"/>
          <w:lang w:eastAsia="zh-CN"/>
        </w:rPr>
        <w:t>；</w:t>
      </w:r>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实有退休人员</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人（上年</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人）,</w:t>
      </w:r>
      <w:r>
        <w:rPr>
          <w:rFonts w:hint="eastAsia" w:ascii="仿宋_GB2312" w:hAnsi="楷体" w:eastAsia="仿宋_GB2312"/>
          <w:b w:val="0"/>
          <w:bCs/>
          <w:color w:val="auto"/>
          <w:spacing w:val="-4"/>
          <w:sz w:val="28"/>
          <w:szCs w:val="28"/>
          <w:highlight w:val="none"/>
          <w:lang w:val="en-US" w:eastAsia="zh-CN"/>
        </w:rPr>
        <w:t>与上年一致</w:t>
      </w:r>
      <w:r>
        <w:rPr>
          <w:rStyle w:val="16"/>
          <w:rFonts w:hint="eastAsia" w:ascii="仿宋_GB2312" w:hAnsi="楷体" w:eastAsia="仿宋_GB2312"/>
          <w:b w:val="0"/>
          <w:color w:val="auto"/>
          <w:spacing w:val="-4"/>
          <w:sz w:val="28"/>
          <w:szCs w:val="28"/>
          <w:highlight w:val="none"/>
        </w:rPr>
        <w:t>。</w:t>
      </w:r>
    </w:p>
    <w:p>
      <w:pPr>
        <w:pStyle w:val="5"/>
        <w:spacing w:line="360" w:lineRule="auto"/>
        <w:ind w:firstLine="562" w:firstLineChars="200"/>
        <w:rPr>
          <w:rStyle w:val="16"/>
          <w:rFonts w:ascii="仿宋" w:hAnsi="仿宋" w:eastAsia="仿宋"/>
          <w:b/>
          <w:bCs/>
          <w:color w:val="auto"/>
          <w:highlight w:val="none"/>
        </w:rPr>
      </w:pPr>
      <w:bookmarkStart w:id="5" w:name="_Toc70450293"/>
      <w:r>
        <w:rPr>
          <w:rStyle w:val="16"/>
          <w:rFonts w:ascii="仿宋" w:hAnsi="仿宋" w:eastAsia="仿宋"/>
          <w:b/>
          <w:bCs/>
          <w:color w:val="auto"/>
          <w:highlight w:val="none"/>
        </w:rPr>
        <w:t>3</w:t>
      </w:r>
      <w:r>
        <w:rPr>
          <w:rStyle w:val="16"/>
          <w:rFonts w:hint="eastAsia" w:ascii="仿宋" w:hAnsi="仿宋" w:eastAsia="仿宋"/>
          <w:b/>
          <w:bCs/>
          <w:color w:val="auto"/>
          <w:highlight w:val="none"/>
        </w:rPr>
        <w:t>、重点工作计划</w:t>
      </w:r>
      <w:bookmarkEnd w:id="5"/>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color w:val="auto"/>
          <w:spacing w:val="-4"/>
          <w:kern w:val="2"/>
          <w:sz w:val="28"/>
          <w:szCs w:val="28"/>
          <w:lang w:val="en-US" w:eastAsia="zh-CN" w:bidi="ar-SA"/>
        </w:rPr>
      </w:pPr>
      <w:r>
        <w:rPr>
          <w:rStyle w:val="16"/>
          <w:rFonts w:hint="eastAsia" w:ascii="仿宋_GB2312" w:hAnsi="楷体" w:eastAsia="仿宋_GB2312" w:cstheme="minorBidi"/>
          <w:b w:val="0"/>
          <w:color w:val="auto"/>
          <w:spacing w:val="-4"/>
          <w:kern w:val="2"/>
          <w:sz w:val="28"/>
          <w:szCs w:val="28"/>
          <w:lang w:val="en-US" w:eastAsia="zh-CN" w:bidi="ar-SA"/>
        </w:rPr>
        <w:t>（1）完成全年单位在职人员的工资发放工作，计划投入71.57万元 ，要完成基本工资、津贴和绩效工资的发放及缴纳机关事业单位基本养老保险缴费、职工基本医疗保险缴费、公务员医疗补助缴费、其他社会保障缴费和住房公积金等人员类支出的目标。</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color w:val="auto"/>
          <w:spacing w:val="-4"/>
          <w:kern w:val="2"/>
          <w:sz w:val="28"/>
          <w:szCs w:val="28"/>
          <w:lang w:val="en-US" w:eastAsia="zh-CN" w:bidi="ar-SA"/>
        </w:rPr>
      </w:pPr>
      <w:r>
        <w:rPr>
          <w:rStyle w:val="16"/>
          <w:rFonts w:hint="eastAsia" w:ascii="仿宋_GB2312" w:hAnsi="楷体" w:eastAsia="仿宋_GB2312" w:cstheme="minorBidi"/>
          <w:b w:val="0"/>
          <w:color w:val="auto"/>
          <w:spacing w:val="-4"/>
          <w:kern w:val="2"/>
          <w:sz w:val="28"/>
          <w:szCs w:val="28"/>
          <w:lang w:val="en-US" w:eastAsia="zh-CN" w:bidi="ar-SA"/>
        </w:rPr>
        <w:t>（2）公用经费计划投入2.9万元，要完成单位日常办公经费，办公费、邮电费、差旅费、培训费、工会经费、福利费等目标。</w:t>
      </w:r>
    </w:p>
    <w:p>
      <w:pPr>
        <w:numPr>
          <w:ilvl w:val="0"/>
          <w:numId w:val="0"/>
        </w:numPr>
        <w:spacing w:line="360" w:lineRule="auto"/>
        <w:ind w:firstLine="544" w:firstLineChars="200"/>
        <w:rPr>
          <w:rStyle w:val="16"/>
          <w:rFonts w:hint="eastAsia" w:ascii="仿宋_GB2312" w:hAnsi="楷体" w:eastAsia="仿宋_GB2312" w:cstheme="minorBidi"/>
          <w:b w:val="0"/>
          <w:color w:val="auto"/>
          <w:spacing w:val="-4"/>
          <w:kern w:val="2"/>
          <w:sz w:val="28"/>
          <w:szCs w:val="28"/>
          <w:highlight w:val="none"/>
          <w:lang w:val="en-US" w:eastAsia="zh-CN" w:bidi="ar-SA"/>
        </w:rPr>
      </w:pPr>
      <w:r>
        <w:rPr>
          <w:rStyle w:val="16"/>
          <w:rFonts w:hint="eastAsia" w:ascii="仿宋_GB2312" w:hAnsi="楷体" w:eastAsia="仿宋_GB2312" w:cstheme="minorBidi"/>
          <w:b w:val="0"/>
          <w:color w:val="auto"/>
          <w:spacing w:val="-4"/>
          <w:kern w:val="2"/>
          <w:sz w:val="28"/>
          <w:szCs w:val="28"/>
          <w:highlight w:val="none"/>
          <w:lang w:val="en-US" w:eastAsia="zh-CN" w:bidi="ar-SA"/>
        </w:rPr>
        <w:t>（3）全年完成优抚对象生活补助金和伤残抚恤金的发放，结合党史学习教育开展“为群众办实事”活动，收集优抚对象的生活困难情况，及时了解撑握优抚对象的待遇享受情况以及生活困难、医疗困难、住房困难等“三难”情况，为全县153名优抚对象发放生活困难补助资金14.69万元，不断提升服务水平夯实了基础。</w:t>
      </w:r>
      <w:r>
        <w:rPr>
          <w:rStyle w:val="16"/>
          <w:rFonts w:hint="eastAsia" w:ascii="仿宋_GB2312" w:hAnsi="楷体" w:eastAsia="仿宋_GB2312" w:cstheme="minorBidi"/>
          <w:b w:val="0"/>
          <w:color w:val="auto"/>
          <w:spacing w:val="-4"/>
          <w:kern w:val="2"/>
          <w:sz w:val="28"/>
          <w:szCs w:val="28"/>
          <w:highlight w:val="none"/>
          <w:lang w:val="en-US" w:eastAsia="zh-CN" w:bidi="ar-SA"/>
        </w:rPr>
        <w:br w:type="textWrapping"/>
      </w:r>
      <w:r>
        <w:rPr>
          <w:rStyle w:val="16"/>
          <w:rFonts w:hint="eastAsia" w:ascii="仿宋_GB2312" w:hAnsi="楷体" w:eastAsia="仿宋_GB2312" w:cstheme="minorBidi"/>
          <w:b w:val="0"/>
          <w:color w:val="auto"/>
          <w:spacing w:val="-4"/>
          <w:kern w:val="2"/>
          <w:sz w:val="28"/>
          <w:szCs w:val="28"/>
          <w:highlight w:val="none"/>
          <w:lang w:val="en-US" w:eastAsia="zh-CN" w:bidi="ar-SA"/>
        </w:rPr>
        <w:t xml:space="preserve">   （4）把退出现役的残疾军人、因公牺牲军人遗属等重点优抚对象纳入参保对象，48名重点优抚对象购买2022年度商业补充医疗保险，按300元/人缴纳保费，共计14400元；39名重点优抚对象购买2022年度城乡居民基本医疗保险，共计12400元。2021年1月至12月人寿保险公司理赔人数20人，赔付金额2.8万元。</w:t>
      </w:r>
    </w:p>
    <w:p>
      <w:pPr>
        <w:numPr>
          <w:ilvl w:val="0"/>
          <w:numId w:val="0"/>
        </w:numPr>
        <w:spacing w:line="360" w:lineRule="auto"/>
        <w:ind w:firstLine="544" w:firstLineChars="200"/>
        <w:rPr>
          <w:rStyle w:val="16"/>
          <w:rFonts w:hint="eastAsia" w:ascii="仿宋_GB2312" w:hAnsi="楷体" w:eastAsia="仿宋_GB2312" w:cstheme="minorBidi"/>
          <w:b w:val="0"/>
          <w:color w:val="auto"/>
          <w:spacing w:val="-4"/>
          <w:kern w:val="2"/>
          <w:sz w:val="28"/>
          <w:szCs w:val="28"/>
          <w:highlight w:val="none"/>
          <w:lang w:val="en-US" w:eastAsia="zh-CN" w:bidi="ar-SA"/>
        </w:rPr>
      </w:pPr>
      <w:r>
        <w:rPr>
          <w:rStyle w:val="16"/>
          <w:rFonts w:hint="eastAsia" w:ascii="仿宋_GB2312" w:hAnsi="楷体" w:eastAsia="仿宋_GB2312" w:cstheme="minorBidi"/>
          <w:b w:val="0"/>
          <w:color w:val="auto"/>
          <w:spacing w:val="-4"/>
          <w:kern w:val="2"/>
          <w:sz w:val="28"/>
          <w:szCs w:val="28"/>
          <w:highlight w:val="none"/>
          <w:lang w:val="en-US" w:eastAsia="zh-CN" w:bidi="ar-SA"/>
        </w:rPr>
        <w:t>(5)双拥活动深入全面开展。2021年清明节期间开展了“守护·2021清明祭英烈”网上祭扫活动，全县网上祭扫人数达15324人次；2021年“春节”、“八一”期间开展了318名重点优抚对象走访慰问活动，发放慰问金15.9万元；开展建党100周年前夕，慰问烈士遗属2人、抗美援朝老战士1人、见义勇为2人，共计1.2万元；使广大退役军人切实感受到党和政府的关怀温暖；积极组织开展为春季、秋季两批次新入伍的军人家庭悬挂“光荣之家”光荣牌活动，为在部队荣立三等功及以上现役军人送喜报，2021年全县立三等功4人次发放，慰问金0.4万元，登门拜访新兵和立军功父母，表达敬意。</w:t>
      </w:r>
    </w:p>
    <w:p>
      <w:pPr>
        <w:numPr>
          <w:ilvl w:val="0"/>
          <w:numId w:val="0"/>
        </w:numPr>
        <w:spacing w:line="360" w:lineRule="auto"/>
        <w:ind w:firstLine="544" w:firstLineChars="200"/>
        <w:rPr>
          <w:rStyle w:val="16"/>
          <w:rFonts w:hint="eastAsia" w:ascii="仿宋_GB2312" w:hAnsi="楷体" w:eastAsia="仿宋_GB2312" w:cstheme="minorBidi"/>
          <w:b w:val="0"/>
          <w:color w:val="auto"/>
          <w:spacing w:val="-4"/>
          <w:kern w:val="2"/>
          <w:sz w:val="28"/>
          <w:szCs w:val="28"/>
          <w:highlight w:val="none"/>
          <w:lang w:val="en-US" w:eastAsia="zh-CN" w:bidi="ar-SA"/>
        </w:rPr>
      </w:pPr>
      <w:r>
        <w:rPr>
          <w:rStyle w:val="16"/>
          <w:rFonts w:hint="eastAsia" w:ascii="仿宋_GB2312" w:hAnsi="楷体" w:eastAsia="仿宋_GB2312" w:cstheme="minorBidi"/>
          <w:b w:val="0"/>
          <w:color w:val="auto"/>
          <w:spacing w:val="-4"/>
          <w:kern w:val="2"/>
          <w:sz w:val="28"/>
          <w:szCs w:val="28"/>
          <w:highlight w:val="none"/>
          <w:lang w:val="en-US" w:eastAsia="zh-CN" w:bidi="ar-SA"/>
        </w:rPr>
        <w:t>(6)完成军休干部的医疗、工资、走访慰问等,走访慰问军队转业干部，为其缴纳基本医疗保险缴纳、大病保险、公务员医疗补助和冬碳费发放以及管理工作,完成了部分退役士兵社保接续工作。</w:t>
      </w:r>
    </w:p>
    <w:p>
      <w:pPr>
        <w:pStyle w:val="4"/>
        <w:spacing w:line="360" w:lineRule="auto"/>
        <w:ind w:firstLine="562" w:firstLineChars="200"/>
        <w:rPr>
          <w:rStyle w:val="16"/>
          <w:rFonts w:ascii="仿宋" w:hAnsi="仿宋" w:eastAsia="仿宋"/>
          <w:b/>
          <w:bCs/>
          <w:color w:val="auto"/>
          <w:sz w:val="28"/>
          <w:szCs w:val="28"/>
        </w:rPr>
      </w:pPr>
      <w:bookmarkStart w:id="6" w:name="_Toc70450294"/>
      <w:r>
        <w:rPr>
          <w:rStyle w:val="16"/>
          <w:rFonts w:hint="eastAsia" w:ascii="仿宋" w:hAnsi="仿宋" w:eastAsia="仿宋"/>
          <w:b/>
          <w:bCs/>
          <w:color w:val="auto"/>
          <w:sz w:val="28"/>
          <w:szCs w:val="28"/>
        </w:rPr>
        <w:t>（二）部门单位整体支出规模、</w:t>
      </w:r>
      <w:bookmarkStart w:id="7" w:name="_Hlk70339807"/>
      <w:r>
        <w:rPr>
          <w:rStyle w:val="16"/>
          <w:rFonts w:hint="eastAsia" w:ascii="仿宋" w:hAnsi="仿宋" w:eastAsia="仿宋"/>
          <w:b/>
          <w:bCs/>
          <w:color w:val="auto"/>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color w:val="auto"/>
        </w:rPr>
      </w:pPr>
      <w:bookmarkStart w:id="8" w:name="_Toc70450295"/>
      <w:r>
        <w:rPr>
          <w:rStyle w:val="16"/>
          <w:rFonts w:hint="eastAsia" w:ascii="仿宋" w:hAnsi="仿宋" w:eastAsia="仿宋"/>
          <w:b/>
          <w:bCs/>
          <w:color w:val="auto"/>
        </w:rPr>
        <w:t>1、部门单位整体支出规模</w:t>
      </w:r>
      <w:bookmarkEnd w:id="8"/>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2021年批复我单位预算为</w:t>
      </w:r>
      <w:r>
        <w:rPr>
          <w:rStyle w:val="16"/>
          <w:rFonts w:hint="eastAsia" w:ascii="仿宋_GB2312" w:hAnsi="楷体" w:eastAsia="仿宋_GB2312"/>
          <w:b w:val="0"/>
          <w:color w:val="auto"/>
          <w:spacing w:val="-4"/>
          <w:sz w:val="28"/>
          <w:szCs w:val="28"/>
          <w:lang w:val="en-US" w:eastAsia="zh-CN"/>
        </w:rPr>
        <w:t>769.17</w:t>
      </w:r>
      <w:r>
        <w:rPr>
          <w:rStyle w:val="16"/>
          <w:rFonts w:hint="eastAsia" w:ascii="仿宋_GB2312" w:hAnsi="楷体" w:eastAsia="仿宋_GB2312"/>
          <w:b w:val="0"/>
          <w:color w:val="auto"/>
          <w:spacing w:val="-4"/>
          <w:sz w:val="28"/>
          <w:szCs w:val="28"/>
        </w:rPr>
        <w:t>万元，其中：财政拨款为</w:t>
      </w:r>
      <w:r>
        <w:rPr>
          <w:rStyle w:val="16"/>
          <w:rFonts w:hint="eastAsia" w:ascii="仿宋_GB2312" w:hAnsi="楷体" w:eastAsia="仿宋_GB2312"/>
          <w:b w:val="0"/>
          <w:color w:val="auto"/>
          <w:spacing w:val="-4"/>
          <w:sz w:val="28"/>
          <w:szCs w:val="28"/>
          <w:lang w:val="en-US" w:eastAsia="zh-CN"/>
        </w:rPr>
        <w:t>769.17</w:t>
      </w:r>
      <w:r>
        <w:rPr>
          <w:rStyle w:val="16"/>
          <w:rFonts w:hint="eastAsia" w:ascii="仿宋_GB2312" w:hAnsi="楷体" w:eastAsia="仿宋_GB2312"/>
          <w:b w:val="0"/>
          <w:color w:val="auto"/>
          <w:spacing w:val="-4"/>
          <w:sz w:val="28"/>
          <w:szCs w:val="28"/>
        </w:rPr>
        <w:t>万元，年中追加资金</w:t>
      </w:r>
      <w:r>
        <w:rPr>
          <w:rStyle w:val="16"/>
          <w:rFonts w:hint="eastAsia" w:ascii="仿宋_GB2312" w:hAnsi="楷体" w:eastAsia="仿宋_GB2312"/>
          <w:b w:val="0"/>
          <w:color w:val="auto"/>
          <w:spacing w:val="-4"/>
          <w:sz w:val="28"/>
          <w:szCs w:val="28"/>
          <w:lang w:val="en-US" w:eastAsia="zh-CN"/>
        </w:rPr>
        <w:t>694.70</w:t>
      </w:r>
      <w:r>
        <w:rPr>
          <w:rStyle w:val="16"/>
          <w:rFonts w:hint="eastAsia" w:ascii="仿宋_GB2312" w:hAnsi="楷体" w:eastAsia="仿宋_GB2312"/>
          <w:b w:val="0"/>
          <w:color w:val="auto"/>
          <w:spacing w:val="-4"/>
          <w:sz w:val="28"/>
          <w:szCs w:val="28"/>
        </w:rPr>
        <w:t>万元，调整率</w:t>
      </w:r>
      <w:r>
        <w:rPr>
          <w:rStyle w:val="16"/>
          <w:rFonts w:hint="eastAsia" w:ascii="仿宋_GB2312" w:hAnsi="楷体" w:eastAsia="仿宋_GB2312"/>
          <w:b w:val="0"/>
          <w:color w:val="auto"/>
          <w:spacing w:val="-4"/>
          <w:sz w:val="28"/>
          <w:szCs w:val="28"/>
          <w:lang w:val="en-US" w:eastAsia="zh-CN"/>
        </w:rPr>
        <w:t>932.86</w:t>
      </w:r>
      <w:r>
        <w:rPr>
          <w:rStyle w:val="16"/>
          <w:rFonts w:hint="eastAsia" w:ascii="仿宋_GB2312" w:hAnsi="楷体" w:eastAsia="仿宋_GB2312"/>
          <w:b w:val="0"/>
          <w:color w:val="auto"/>
          <w:spacing w:val="-4"/>
          <w:sz w:val="28"/>
          <w:szCs w:val="28"/>
        </w:rPr>
        <w:t>%。对比上年</w:t>
      </w:r>
      <w:r>
        <w:rPr>
          <w:rStyle w:val="16"/>
          <w:rFonts w:hint="eastAsia" w:ascii="仿宋_GB2312" w:hAnsi="楷体" w:eastAsia="仿宋_GB2312"/>
          <w:b w:val="0"/>
          <w:color w:val="auto"/>
          <w:spacing w:val="-4"/>
          <w:sz w:val="28"/>
          <w:szCs w:val="28"/>
          <w:lang w:val="en-US" w:eastAsia="zh-CN"/>
        </w:rPr>
        <w:t>650.81</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val="en-US" w:eastAsia="zh-CN"/>
        </w:rPr>
        <w:t>增加118.36</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val="en-US" w:eastAsia="zh-CN"/>
        </w:rPr>
        <w:t>上升18.19</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2021年实际决算支出</w:t>
      </w:r>
      <w:r>
        <w:rPr>
          <w:rStyle w:val="16"/>
          <w:rFonts w:hint="eastAsia" w:ascii="仿宋_GB2312" w:hAnsi="楷体" w:eastAsia="仿宋_GB2312"/>
          <w:b w:val="0"/>
          <w:color w:val="auto"/>
          <w:spacing w:val="-4"/>
          <w:sz w:val="28"/>
          <w:szCs w:val="28"/>
          <w:lang w:val="en-US" w:eastAsia="zh-CN"/>
        </w:rPr>
        <w:t>769.17</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w:t>
      </w:r>
    </w:p>
    <w:p>
      <w:pPr>
        <w:numPr>
          <w:ilvl w:val="0"/>
          <w:numId w:val="1"/>
        </w:num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312.90</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40.68</w:t>
      </w:r>
      <w:r>
        <w:rPr>
          <w:rStyle w:val="16"/>
          <w:rFonts w:hint="eastAsia" w:ascii="仿宋_GB2312" w:hAnsi="楷体" w:eastAsia="仿宋_GB2312"/>
          <w:b w:val="0"/>
          <w:color w:val="auto"/>
          <w:spacing w:val="-4"/>
          <w:sz w:val="28"/>
          <w:szCs w:val="28"/>
        </w:rPr>
        <w:t>％，主要用于本单位机构正常运转、完成日常工作任务而发生的各项支出。其中：工资福利支出</w:t>
      </w:r>
      <w:r>
        <w:rPr>
          <w:rStyle w:val="16"/>
          <w:rFonts w:hint="eastAsia" w:ascii="仿宋_GB2312" w:hAnsi="楷体" w:eastAsia="仿宋_GB2312"/>
          <w:b w:val="0"/>
          <w:color w:val="auto"/>
          <w:spacing w:val="-4"/>
          <w:sz w:val="28"/>
          <w:szCs w:val="28"/>
          <w:lang w:val="en-US" w:eastAsia="zh-CN"/>
        </w:rPr>
        <w:t>87.48</w:t>
      </w:r>
      <w:r>
        <w:rPr>
          <w:rStyle w:val="16"/>
          <w:rFonts w:hint="eastAsia" w:ascii="仿宋_GB2312" w:hAnsi="楷体" w:eastAsia="仿宋_GB2312"/>
          <w:b w:val="0"/>
          <w:color w:val="auto"/>
          <w:spacing w:val="-4"/>
          <w:sz w:val="28"/>
          <w:szCs w:val="28"/>
        </w:rPr>
        <w:t>万元，主要用于在职人员基本工资、津贴补贴</w:t>
      </w:r>
      <w:r>
        <w:rPr>
          <w:rStyle w:val="16"/>
          <w:rFonts w:hint="eastAsia" w:ascii="仿宋_GB2312" w:hAnsi="楷体" w:eastAsia="仿宋_GB2312"/>
          <w:b w:val="0"/>
          <w:color w:val="auto"/>
          <w:spacing w:val="-4"/>
          <w:sz w:val="28"/>
          <w:szCs w:val="28"/>
          <w:lang w:eastAsia="zh-CN"/>
        </w:rPr>
        <w:t>、机关失业单位养老保险缴费、卫生健康支出、住房公积金</w:t>
      </w:r>
      <w:r>
        <w:rPr>
          <w:rStyle w:val="16"/>
          <w:rFonts w:hint="eastAsia" w:ascii="仿宋_GB2312" w:hAnsi="楷体" w:eastAsia="仿宋_GB2312"/>
          <w:b w:val="0"/>
          <w:color w:val="auto"/>
          <w:spacing w:val="-4"/>
          <w:sz w:val="28"/>
          <w:szCs w:val="28"/>
        </w:rPr>
        <w:t>等人员经费。商品和服务支出</w:t>
      </w:r>
      <w:r>
        <w:rPr>
          <w:rStyle w:val="16"/>
          <w:rFonts w:hint="eastAsia" w:ascii="仿宋_GB2312" w:hAnsi="楷体" w:eastAsia="仿宋_GB2312"/>
          <w:b w:val="0"/>
          <w:color w:val="auto"/>
          <w:spacing w:val="-4"/>
          <w:sz w:val="28"/>
          <w:szCs w:val="28"/>
          <w:lang w:val="en-US" w:eastAsia="zh-CN"/>
        </w:rPr>
        <w:t>1.59</w:t>
      </w:r>
      <w:r>
        <w:rPr>
          <w:rStyle w:val="16"/>
          <w:rFonts w:hint="eastAsia" w:ascii="仿宋_GB2312" w:hAnsi="楷体" w:eastAsia="仿宋_GB2312"/>
          <w:b w:val="0"/>
          <w:color w:val="auto"/>
          <w:spacing w:val="-4"/>
          <w:sz w:val="28"/>
          <w:szCs w:val="28"/>
        </w:rPr>
        <w:t>万元，主要用于办公费、印刷费、水电费、办公设备购置等。对个人和家庭的补助</w:t>
      </w:r>
      <w:r>
        <w:rPr>
          <w:rStyle w:val="16"/>
          <w:rFonts w:hint="eastAsia" w:ascii="仿宋_GB2312" w:hAnsi="楷体" w:eastAsia="仿宋_GB2312"/>
          <w:b w:val="0"/>
          <w:color w:val="auto"/>
          <w:spacing w:val="-4"/>
          <w:sz w:val="28"/>
          <w:szCs w:val="28"/>
          <w:lang w:val="en-US" w:eastAsia="zh-CN"/>
        </w:rPr>
        <w:t>223.83</w:t>
      </w:r>
      <w:r>
        <w:rPr>
          <w:rStyle w:val="16"/>
          <w:rFonts w:hint="eastAsia" w:ascii="仿宋_GB2312" w:hAnsi="楷体" w:eastAsia="仿宋_GB2312"/>
          <w:b w:val="0"/>
          <w:color w:val="auto"/>
          <w:spacing w:val="-4"/>
          <w:sz w:val="28"/>
          <w:szCs w:val="28"/>
        </w:rPr>
        <w:t>万元，主要用于</w:t>
      </w:r>
      <w:r>
        <w:rPr>
          <w:rStyle w:val="16"/>
          <w:rFonts w:hint="eastAsia" w:ascii="仿宋_GB2312" w:hAnsi="楷体" w:eastAsia="仿宋_GB2312"/>
          <w:b w:val="0"/>
          <w:color w:val="auto"/>
          <w:spacing w:val="-4"/>
          <w:sz w:val="28"/>
          <w:szCs w:val="28"/>
          <w:lang w:eastAsia="zh-CN"/>
        </w:rPr>
        <w:t>伤残护理费、义务兵家庭优待金、退役士兵安置和其他退役士兵安置支出</w:t>
      </w:r>
      <w:r>
        <w:rPr>
          <w:rStyle w:val="16"/>
          <w:rFonts w:hint="eastAsia" w:ascii="仿宋_GB2312" w:hAnsi="楷体" w:eastAsia="仿宋_GB2312"/>
          <w:b w:val="0"/>
          <w:color w:val="auto"/>
          <w:spacing w:val="-4"/>
          <w:sz w:val="28"/>
          <w:szCs w:val="28"/>
        </w:rPr>
        <w:t>。资本性支出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 xml:space="preserve">万元。 </w:t>
      </w:r>
      <w:r>
        <w:rPr>
          <w:rStyle w:val="16"/>
          <w:rFonts w:ascii="仿宋_GB2312" w:hAnsi="楷体" w:eastAsia="仿宋_GB2312"/>
          <w:b w:val="0"/>
          <w:color w:val="auto"/>
          <w:spacing w:val="-4"/>
          <w:sz w:val="28"/>
          <w:szCs w:val="28"/>
        </w:rPr>
        <w:t xml:space="preserve"> </w:t>
      </w:r>
    </w:p>
    <w:p>
      <w:pPr>
        <w:numPr>
          <w:ilvl w:val="0"/>
          <w:numId w:val="1"/>
        </w:numPr>
        <w:spacing w:line="360" w:lineRule="auto"/>
        <w:ind w:left="0" w:leftChars="0"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项目支出</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59.32</w:t>
      </w:r>
      <w:r>
        <w:rPr>
          <w:rStyle w:val="16"/>
          <w:rFonts w:hint="eastAsia" w:ascii="仿宋_GB2312" w:hAnsi="楷体" w:eastAsia="仿宋_GB2312"/>
          <w:b w:val="0"/>
          <w:color w:val="auto"/>
          <w:spacing w:val="-4"/>
          <w:sz w:val="28"/>
          <w:szCs w:val="28"/>
        </w:rPr>
        <w:t>％。其中：</w:t>
      </w:r>
      <w:r>
        <w:rPr>
          <w:rStyle w:val="16"/>
          <w:rFonts w:hint="eastAsia" w:ascii="仿宋_GB2312" w:hAnsi="楷体" w:eastAsia="仿宋_GB2312"/>
          <w:b w:val="0"/>
          <w:color w:val="auto"/>
          <w:spacing w:val="-4"/>
          <w:sz w:val="28"/>
          <w:szCs w:val="28"/>
          <w:lang w:val="en-US" w:eastAsia="zh-CN"/>
        </w:rPr>
        <w:t>2021年优抚对象补助经费</w:t>
      </w:r>
      <w:r>
        <w:rPr>
          <w:rStyle w:val="16"/>
          <w:rFonts w:hint="eastAsia" w:ascii="仿宋_GB2312" w:hAnsi="楷体" w:eastAsia="仿宋_GB2312"/>
          <w:b w:val="0"/>
          <w:color w:val="auto"/>
          <w:spacing w:val="-4"/>
          <w:sz w:val="28"/>
          <w:szCs w:val="28"/>
        </w:rPr>
        <w:t>项目安排</w:t>
      </w:r>
      <w:r>
        <w:rPr>
          <w:rStyle w:val="16"/>
          <w:rFonts w:hint="eastAsia" w:ascii="仿宋_GB2312" w:hAnsi="楷体" w:eastAsia="仿宋_GB2312"/>
          <w:b w:val="0"/>
          <w:color w:val="auto"/>
          <w:spacing w:val="-4"/>
          <w:sz w:val="28"/>
          <w:szCs w:val="28"/>
          <w:lang w:val="en-US" w:eastAsia="zh-CN"/>
        </w:rPr>
        <w:t>376.01</w:t>
      </w:r>
      <w:r>
        <w:rPr>
          <w:rStyle w:val="16"/>
          <w:rFonts w:hint="eastAsia" w:ascii="仿宋_GB2312" w:hAnsi="楷体" w:eastAsia="仿宋_GB2312"/>
          <w:b w:val="0"/>
          <w:color w:val="auto"/>
          <w:spacing w:val="-4"/>
          <w:sz w:val="28"/>
          <w:szCs w:val="28"/>
        </w:rPr>
        <w:t>万元，主要用于完成</w:t>
      </w:r>
      <w:r>
        <w:rPr>
          <w:rStyle w:val="16"/>
          <w:rFonts w:hint="eastAsia" w:ascii="仿宋_GB2312" w:hAnsi="楷体" w:eastAsia="仿宋_GB2312"/>
          <w:b w:val="0"/>
          <w:color w:val="auto"/>
          <w:spacing w:val="-4"/>
          <w:sz w:val="28"/>
          <w:szCs w:val="28"/>
          <w:lang w:eastAsia="zh-CN"/>
        </w:rPr>
        <w:t>优抚对象生活补助金和伤残抚恤金的发放</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eastAsia="zh-CN"/>
        </w:rPr>
        <w:t>退役安置补助</w:t>
      </w:r>
      <w:r>
        <w:rPr>
          <w:rStyle w:val="16"/>
          <w:rFonts w:hint="eastAsia" w:ascii="仿宋_GB2312" w:hAnsi="楷体" w:eastAsia="仿宋_GB2312"/>
          <w:b w:val="0"/>
          <w:color w:val="auto"/>
          <w:spacing w:val="-4"/>
          <w:sz w:val="28"/>
          <w:szCs w:val="28"/>
        </w:rPr>
        <w:t>项目安排</w:t>
      </w:r>
      <w:r>
        <w:rPr>
          <w:rStyle w:val="16"/>
          <w:rFonts w:hint="eastAsia" w:ascii="仿宋_GB2312" w:hAnsi="楷体" w:eastAsia="仿宋_GB2312"/>
          <w:b w:val="0"/>
          <w:color w:val="auto"/>
          <w:spacing w:val="-4"/>
          <w:sz w:val="28"/>
          <w:szCs w:val="28"/>
          <w:lang w:val="en-US" w:eastAsia="zh-CN"/>
        </w:rPr>
        <w:t>17</w:t>
      </w:r>
      <w:r>
        <w:rPr>
          <w:rStyle w:val="16"/>
          <w:rFonts w:hint="eastAsia" w:ascii="仿宋_GB2312" w:hAnsi="楷体" w:eastAsia="仿宋_GB2312"/>
          <w:b w:val="0"/>
          <w:color w:val="auto"/>
          <w:spacing w:val="-4"/>
          <w:sz w:val="28"/>
          <w:szCs w:val="28"/>
        </w:rPr>
        <w:t>万元，主要用于完成</w:t>
      </w:r>
      <w:r>
        <w:rPr>
          <w:rStyle w:val="16"/>
          <w:rFonts w:hint="eastAsia" w:ascii="仿宋_GB2312" w:hAnsi="楷体" w:eastAsia="仿宋_GB2312"/>
          <w:b w:val="0"/>
          <w:color w:val="auto"/>
          <w:spacing w:val="-4"/>
          <w:sz w:val="28"/>
          <w:szCs w:val="28"/>
          <w:lang w:eastAsia="zh-CN"/>
        </w:rPr>
        <w:t>军休干部的医疗、工资、走访慰问等</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eastAsia="zh-CN"/>
        </w:rPr>
        <w:t>军队转业干部补助</w:t>
      </w:r>
      <w:r>
        <w:rPr>
          <w:rStyle w:val="16"/>
          <w:rFonts w:hint="eastAsia" w:ascii="仿宋_GB2312" w:hAnsi="楷体" w:eastAsia="仿宋_GB2312"/>
          <w:b w:val="0"/>
          <w:color w:val="auto"/>
          <w:spacing w:val="-4"/>
          <w:sz w:val="28"/>
          <w:szCs w:val="28"/>
          <w:lang w:val="en-US" w:eastAsia="zh-CN"/>
        </w:rPr>
        <w:t>37.62万元，主要用于军队转业干部的走访慰问、基本医疗保险缴纳、大病保险、公务员医疗补助和冬碳费发放以及管理工作。退役安置补助项目部分退役士兵社保接续18.23万元，主要用于部分退役士兵社保接续</w:t>
      </w:r>
    </w:p>
    <w:p>
      <w:pPr>
        <w:numPr>
          <w:ilvl w:val="0"/>
          <w:numId w:val="1"/>
        </w:numPr>
        <w:spacing w:line="360" w:lineRule="auto"/>
        <w:ind w:left="0" w:leftChars="0"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本年度重点项目支出</w:t>
      </w:r>
      <w:r>
        <w:rPr>
          <w:rStyle w:val="16"/>
          <w:rFonts w:hint="eastAsia" w:ascii="仿宋_GB2312" w:hAnsi="楷体" w:eastAsia="仿宋_GB2312"/>
          <w:b w:val="0"/>
          <w:color w:val="auto"/>
          <w:spacing w:val="-4"/>
          <w:sz w:val="28"/>
          <w:szCs w:val="28"/>
          <w:highlight w:val="none"/>
          <w:lang w:val="en-US" w:eastAsia="zh-CN"/>
        </w:rPr>
        <w:t>376.01</w:t>
      </w:r>
      <w:r>
        <w:rPr>
          <w:rStyle w:val="16"/>
          <w:rFonts w:hint="eastAsia" w:ascii="仿宋_GB2312" w:hAnsi="楷体" w:eastAsia="仿宋_GB2312"/>
          <w:b w:val="0"/>
          <w:color w:val="auto"/>
          <w:spacing w:val="-4"/>
          <w:sz w:val="28"/>
          <w:szCs w:val="28"/>
          <w:highlight w:val="none"/>
        </w:rPr>
        <w:t>万元，重点支出保障率</w:t>
      </w:r>
      <w:r>
        <w:rPr>
          <w:rStyle w:val="16"/>
          <w:rFonts w:hint="eastAsia" w:ascii="仿宋_GB2312" w:hAnsi="楷体" w:eastAsia="仿宋_GB2312"/>
          <w:b w:val="0"/>
          <w:color w:val="auto"/>
          <w:spacing w:val="-4"/>
          <w:sz w:val="28"/>
          <w:szCs w:val="28"/>
          <w:highlight w:val="none"/>
          <w:lang w:val="en-US" w:eastAsia="zh-CN"/>
        </w:rPr>
        <w:t>82.41</w:t>
      </w:r>
      <w:r>
        <w:rPr>
          <w:rStyle w:val="16"/>
          <w:rFonts w:hint="eastAsia" w:ascii="仿宋_GB2312" w:hAnsi="楷体" w:eastAsia="仿宋_GB2312"/>
          <w:b w:val="0"/>
          <w:color w:val="auto"/>
          <w:spacing w:val="-4"/>
          <w:sz w:val="28"/>
          <w:szCs w:val="28"/>
          <w:highlight w:val="none"/>
        </w:rPr>
        <w:t>%。其中重点保障项目是</w:t>
      </w:r>
      <w:r>
        <w:rPr>
          <w:rStyle w:val="16"/>
          <w:rFonts w:hint="eastAsia" w:ascii="仿宋_GB2312" w:hAnsi="楷体" w:eastAsia="仿宋_GB2312"/>
          <w:b w:val="0"/>
          <w:color w:val="auto"/>
          <w:spacing w:val="-4"/>
          <w:sz w:val="28"/>
          <w:szCs w:val="28"/>
          <w:highlight w:val="none"/>
          <w:lang w:val="en-US" w:eastAsia="zh-CN"/>
        </w:rPr>
        <w:t>2021年优抚对象补助经费</w:t>
      </w:r>
      <w:r>
        <w:rPr>
          <w:rStyle w:val="16"/>
          <w:rFonts w:hint="eastAsia" w:ascii="仿宋_GB2312" w:hAnsi="楷体" w:eastAsia="仿宋_GB2312"/>
          <w:b w:val="0"/>
          <w:color w:val="auto"/>
          <w:spacing w:val="-4"/>
          <w:sz w:val="28"/>
          <w:szCs w:val="28"/>
          <w:highlight w:val="none"/>
        </w:rPr>
        <w:t>项目。</w:t>
      </w:r>
    </w:p>
    <w:p>
      <w:pPr>
        <w:numPr>
          <w:ilvl w:val="0"/>
          <w:numId w:val="1"/>
        </w:numPr>
        <w:spacing w:line="360" w:lineRule="auto"/>
        <w:ind w:left="0" w:leftChars="0" w:firstLine="544" w:firstLineChars="200"/>
        <w:rPr>
          <w:rStyle w:val="16"/>
          <w:rFonts w:ascii="仿宋_GB2312" w:hAnsi="楷体" w:eastAsia="仿宋_GB2312"/>
          <w:b w:val="0"/>
          <w:color w:val="auto"/>
          <w:spacing w:val="-4"/>
          <w:sz w:val="32"/>
          <w:szCs w:val="32"/>
        </w:rPr>
      </w:pPr>
      <w:r>
        <w:rPr>
          <w:rStyle w:val="16"/>
          <w:rFonts w:hint="eastAsia" w:ascii="仿宋_GB2312" w:hAnsi="楷体" w:eastAsia="仿宋_GB2312"/>
          <w:b w:val="0"/>
          <w:color w:val="auto"/>
          <w:spacing w:val="-4"/>
          <w:sz w:val="28"/>
          <w:szCs w:val="28"/>
        </w:rPr>
        <w:t>本年度我单位</w:t>
      </w:r>
      <w:r>
        <w:rPr>
          <w:rStyle w:val="16"/>
          <w:rFonts w:hint="eastAsia" w:ascii="仿宋_GB2312" w:hAnsi="楷体" w:eastAsia="仿宋_GB2312"/>
          <w:b w:val="0"/>
          <w:color w:val="auto"/>
          <w:spacing w:val="-4"/>
          <w:sz w:val="28"/>
          <w:szCs w:val="28"/>
          <w:lang w:val="en-US" w:eastAsia="zh-CN"/>
        </w:rPr>
        <w:t>特克斯县退役军人事务局</w:t>
      </w:r>
      <w:r>
        <w:rPr>
          <w:rStyle w:val="16"/>
          <w:rFonts w:hint="eastAsia" w:ascii="仿宋_GB2312" w:hAnsi="楷体" w:eastAsia="仿宋_GB2312"/>
          <w:b w:val="0"/>
          <w:spacing w:val="-4"/>
          <w:sz w:val="28"/>
          <w:szCs w:val="28"/>
        </w:rPr>
        <w:t>政府采购预算</w:t>
      </w:r>
      <w:r>
        <w:rPr>
          <w:rStyle w:val="16"/>
          <w:rFonts w:hint="eastAsia" w:ascii="仿宋_GB2312" w:hAnsi="楷体" w:eastAsia="仿宋_GB2312"/>
          <w:b w:val="0"/>
          <w:spacing w:val="-4"/>
          <w:sz w:val="28"/>
          <w:szCs w:val="28"/>
          <w:lang w:val="en-US" w:eastAsia="zh-CN"/>
        </w:rPr>
        <w:t>1.30</w:t>
      </w:r>
      <w:r>
        <w:rPr>
          <w:rStyle w:val="16"/>
          <w:rFonts w:hint="eastAsia" w:ascii="仿宋_GB2312" w:hAnsi="楷体" w:eastAsia="仿宋_GB2312"/>
          <w:b w:val="0"/>
          <w:spacing w:val="-4"/>
          <w:sz w:val="28"/>
          <w:szCs w:val="28"/>
        </w:rPr>
        <w:t>万元,实际用于政府采购金额</w:t>
      </w:r>
      <w:r>
        <w:rPr>
          <w:rStyle w:val="16"/>
          <w:rFonts w:hint="eastAsia" w:ascii="仿宋_GB2312" w:hAnsi="楷体" w:eastAsia="仿宋_GB2312"/>
          <w:b w:val="0"/>
          <w:spacing w:val="-4"/>
          <w:sz w:val="28"/>
          <w:szCs w:val="28"/>
          <w:lang w:val="en-US" w:eastAsia="zh-CN"/>
        </w:rPr>
        <w:t>1.30</w:t>
      </w:r>
      <w:r>
        <w:rPr>
          <w:rStyle w:val="16"/>
          <w:rFonts w:hint="eastAsia" w:ascii="仿宋_GB2312" w:hAnsi="楷体" w:eastAsia="仿宋_GB2312"/>
          <w:b w:val="0"/>
          <w:spacing w:val="-4"/>
          <w:sz w:val="28"/>
          <w:szCs w:val="28"/>
        </w:rPr>
        <w:t>万元，采购执行率</w:t>
      </w:r>
      <w:r>
        <w:rPr>
          <w:rStyle w:val="16"/>
          <w:rFonts w:hint="eastAsia" w:ascii="仿宋_GB2312" w:hAnsi="宋体" w:eastAsia="仿宋_GB2312"/>
          <w:b w:val="0"/>
          <w:bCs w:val="0"/>
          <w:spacing w:val="-4"/>
          <w:sz w:val="28"/>
          <w:szCs w:val="28"/>
        </w:rPr>
        <w:t>100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color w:val="auto"/>
          <w:spacing w:val="-4"/>
          <w:sz w:val="28"/>
          <w:szCs w:val="28"/>
        </w:rPr>
        <w:t>。</w:t>
      </w:r>
    </w:p>
    <w:p>
      <w:pPr>
        <w:pStyle w:val="5"/>
        <w:spacing w:line="360" w:lineRule="auto"/>
        <w:ind w:firstLine="562" w:firstLineChars="200"/>
        <w:rPr>
          <w:rStyle w:val="16"/>
          <w:rFonts w:ascii="仿宋" w:hAnsi="仿宋" w:eastAsia="仿宋"/>
          <w:b/>
          <w:bCs/>
          <w:color w:val="auto"/>
        </w:rPr>
      </w:pPr>
      <w:bookmarkStart w:id="9" w:name="_Toc70450296"/>
      <w:r>
        <w:rPr>
          <w:rStyle w:val="16"/>
          <w:rFonts w:ascii="仿宋" w:hAnsi="仿宋" w:eastAsia="仿宋"/>
          <w:b/>
          <w:bCs/>
          <w:color w:val="auto"/>
        </w:rPr>
        <w:t>2</w:t>
      </w:r>
      <w:r>
        <w:rPr>
          <w:rStyle w:val="16"/>
          <w:rFonts w:hint="eastAsia" w:ascii="仿宋" w:hAnsi="仿宋" w:eastAsia="仿宋"/>
          <w:b/>
          <w:bCs/>
          <w:color w:val="auto"/>
        </w:rPr>
        <w:t>、整体支出评价使用方法和主要内容、涉及对象及范围等</w:t>
      </w:r>
      <w:bookmarkEnd w:id="9"/>
    </w:p>
    <w:p>
      <w:pPr>
        <w:spacing w:line="360" w:lineRule="auto"/>
        <w:ind w:firstLine="560" w:firstLineChars="200"/>
        <w:rPr>
          <w:rStyle w:val="16"/>
          <w:rFonts w:ascii="仿宋_GB2312" w:eastAsia="仿宋_GB2312"/>
          <w:b w:val="0"/>
          <w:bCs w:val="0"/>
          <w:color w:val="auto"/>
          <w:sz w:val="28"/>
          <w:szCs w:val="36"/>
        </w:rPr>
      </w:pPr>
      <w:r>
        <w:rPr>
          <w:rFonts w:hint="eastAsia" w:ascii="仿宋_GB2312" w:eastAsia="仿宋_GB2312"/>
          <w:color w:val="auto"/>
          <w:sz w:val="28"/>
          <w:szCs w:val="36"/>
        </w:rPr>
        <w:t>（1）</w:t>
      </w:r>
      <w:r>
        <w:rPr>
          <w:rStyle w:val="16"/>
          <w:rFonts w:hint="eastAsia" w:ascii="仿宋_GB2312" w:eastAsia="仿宋_GB2312"/>
          <w:b w:val="0"/>
          <w:bCs w:val="0"/>
          <w:color w:val="auto"/>
          <w:sz w:val="28"/>
          <w:szCs w:val="36"/>
        </w:rPr>
        <w:t>整体支出评价使用方法</w:t>
      </w:r>
    </w:p>
    <w:p>
      <w:pPr>
        <w:spacing w:line="360" w:lineRule="auto"/>
        <w:ind w:firstLine="560" w:firstLineChars="200"/>
        <w:rPr>
          <w:rStyle w:val="16"/>
          <w:rFonts w:hint="eastAsia" w:ascii="仿宋_GB2312" w:eastAsia="仿宋_GB2312"/>
          <w:b w:val="0"/>
          <w:bCs w:val="0"/>
          <w:color w:val="auto"/>
          <w:sz w:val="28"/>
          <w:szCs w:val="36"/>
          <w:highlight w:val="none"/>
          <w:lang w:eastAsia="zh-CN"/>
        </w:rPr>
      </w:pPr>
      <w:r>
        <w:rPr>
          <w:rStyle w:val="16"/>
          <w:rFonts w:hint="eastAsia" w:ascii="仿宋_GB2312" w:eastAsia="仿宋_GB2312"/>
          <w:b w:val="0"/>
          <w:bCs w:val="0"/>
          <w:color w:val="auto"/>
          <w:sz w:val="28"/>
          <w:szCs w:val="36"/>
        </w:rPr>
        <w:t>本次单位整体支出绩效自评采用因素分析法方法，</w:t>
      </w:r>
      <w:r>
        <w:rPr>
          <w:rStyle w:val="16"/>
          <w:rFonts w:hint="eastAsia" w:ascii="仿宋_GB2312" w:eastAsia="仿宋_GB2312"/>
          <w:b w:val="0"/>
          <w:bCs w:val="0"/>
          <w:color w:val="auto"/>
          <w:sz w:val="28"/>
          <w:szCs w:val="36"/>
          <w:highlight w:val="none"/>
        </w:rPr>
        <w:t>原因是：</w:t>
      </w:r>
      <w:r>
        <w:rPr>
          <w:rStyle w:val="16"/>
          <w:rFonts w:hint="eastAsia" w:ascii="仿宋_GB2312" w:eastAsia="仿宋_GB2312"/>
          <w:b w:val="0"/>
          <w:bCs w:val="0"/>
          <w:color w:val="auto"/>
          <w:sz w:val="28"/>
          <w:szCs w:val="36"/>
          <w:highlight w:val="none"/>
          <w:lang w:val="en-US" w:eastAsia="zh-CN"/>
        </w:rPr>
        <w:t>根据本单位职能，是保障全县退役军人的合法权益，且本单位</w:t>
      </w:r>
      <w:r>
        <w:rPr>
          <w:rStyle w:val="16"/>
          <w:rFonts w:hint="eastAsia" w:ascii="仿宋_GB2312" w:eastAsia="仿宋_GB2312"/>
          <w:b w:val="0"/>
          <w:bCs w:val="0"/>
          <w:color w:val="auto"/>
          <w:sz w:val="28"/>
          <w:szCs w:val="36"/>
          <w:highlight w:val="none"/>
          <w:lang w:eastAsia="zh-CN"/>
        </w:rPr>
        <w:t>因有项目所以要</w:t>
      </w:r>
      <w:r>
        <w:rPr>
          <w:rStyle w:val="16"/>
          <w:rFonts w:hint="eastAsia" w:ascii="仿宋_GB2312" w:eastAsia="仿宋_GB2312"/>
          <w:b w:val="0"/>
          <w:bCs w:val="0"/>
          <w:color w:val="auto"/>
          <w:sz w:val="28"/>
          <w:szCs w:val="36"/>
          <w:highlight w:val="none"/>
        </w:rPr>
        <w:t>综合分析影响</w:t>
      </w:r>
      <w:r>
        <w:rPr>
          <w:rStyle w:val="16"/>
          <w:rFonts w:hint="eastAsia" w:ascii="仿宋_GB2312" w:eastAsia="仿宋_GB2312"/>
          <w:b w:val="0"/>
          <w:bCs w:val="0"/>
          <w:color w:val="auto"/>
          <w:sz w:val="28"/>
          <w:szCs w:val="36"/>
          <w:highlight w:val="none"/>
          <w:lang w:eastAsia="zh-CN"/>
        </w:rPr>
        <w:t>整体</w:t>
      </w:r>
      <w:r>
        <w:rPr>
          <w:rStyle w:val="16"/>
          <w:rFonts w:hint="eastAsia" w:ascii="仿宋_GB2312" w:eastAsia="仿宋_GB2312"/>
          <w:b w:val="0"/>
          <w:bCs w:val="0"/>
          <w:color w:val="auto"/>
          <w:sz w:val="28"/>
          <w:szCs w:val="36"/>
          <w:highlight w:val="none"/>
        </w:rPr>
        <w:t>绩效目标</w:t>
      </w:r>
      <w:r>
        <w:rPr>
          <w:rStyle w:val="16"/>
          <w:rFonts w:hint="eastAsia" w:ascii="仿宋_GB2312" w:eastAsia="仿宋_GB2312"/>
          <w:b w:val="0"/>
          <w:bCs w:val="0"/>
          <w:color w:val="auto"/>
          <w:sz w:val="28"/>
          <w:szCs w:val="36"/>
          <w:highlight w:val="none"/>
          <w:lang w:eastAsia="zh-CN"/>
        </w:rPr>
        <w:t>的因素，分析</w:t>
      </w:r>
      <w:r>
        <w:rPr>
          <w:rStyle w:val="16"/>
          <w:rFonts w:hint="eastAsia" w:ascii="仿宋_GB2312" w:eastAsia="仿宋_GB2312"/>
          <w:b w:val="0"/>
          <w:bCs w:val="0"/>
          <w:color w:val="auto"/>
          <w:sz w:val="28"/>
          <w:szCs w:val="36"/>
          <w:highlight w:val="none"/>
          <w:lang w:val="en-US" w:eastAsia="zh-CN"/>
        </w:rPr>
        <w:t>本</w:t>
      </w:r>
      <w:r>
        <w:rPr>
          <w:rStyle w:val="16"/>
          <w:rFonts w:hint="eastAsia" w:ascii="仿宋_GB2312" w:eastAsia="仿宋_GB2312"/>
          <w:b w:val="0"/>
          <w:bCs w:val="0"/>
          <w:color w:val="auto"/>
          <w:sz w:val="28"/>
          <w:szCs w:val="36"/>
          <w:highlight w:val="none"/>
          <w:lang w:eastAsia="zh-CN"/>
        </w:rPr>
        <w:t>单位整体绩效</w:t>
      </w:r>
      <w:r>
        <w:rPr>
          <w:rStyle w:val="16"/>
          <w:rFonts w:hint="eastAsia" w:ascii="仿宋_GB2312" w:eastAsia="仿宋_GB2312"/>
          <w:b w:val="0"/>
          <w:bCs w:val="0"/>
          <w:color w:val="auto"/>
          <w:sz w:val="28"/>
          <w:szCs w:val="36"/>
          <w:highlight w:val="none"/>
        </w:rPr>
        <w:t>实施效果的内外因素</w:t>
      </w:r>
      <w:r>
        <w:rPr>
          <w:rStyle w:val="16"/>
          <w:rFonts w:hint="eastAsia" w:ascii="仿宋_GB2312" w:eastAsia="仿宋_GB2312"/>
          <w:b w:val="0"/>
          <w:bCs w:val="0"/>
          <w:color w:val="auto"/>
          <w:sz w:val="28"/>
          <w:szCs w:val="36"/>
          <w:highlight w:val="none"/>
          <w:lang w:val="en-US" w:eastAsia="zh-CN"/>
        </w:rPr>
        <w:t>,采用因素分析方法</w:t>
      </w:r>
      <w:r>
        <w:rPr>
          <w:rFonts w:hint="eastAsia" w:ascii="仿宋_GB2312" w:eastAsia="仿宋_GB2312"/>
          <w:sz w:val="28"/>
          <w:szCs w:val="36"/>
          <w:highlight w:val="none"/>
        </w:rPr>
        <w:t>能更加直观的反映出评价结果</w:t>
      </w:r>
      <w:r>
        <w:rPr>
          <w:rStyle w:val="16"/>
          <w:rFonts w:hint="eastAsia" w:ascii="仿宋_GB2312" w:eastAsia="仿宋_GB2312"/>
          <w:b w:val="0"/>
          <w:bCs w:val="0"/>
          <w:color w:val="auto"/>
          <w:sz w:val="28"/>
          <w:szCs w:val="36"/>
          <w:highlight w:val="none"/>
          <w:lang w:eastAsia="zh-CN"/>
        </w:rPr>
        <w:t>。</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（2）整体支出评价主要内容</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1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①</w:t>
      </w:r>
      <w:r>
        <w:rPr>
          <w:rFonts w:ascii="仿宋_GB2312" w:eastAsia="仿宋_GB2312"/>
          <w:color w:val="auto"/>
          <w:sz w:val="28"/>
          <w:szCs w:val="36"/>
        </w:rPr>
        <w:fldChar w:fldCharType="end"/>
      </w:r>
      <w:r>
        <w:rPr>
          <w:rFonts w:hint="eastAsia" w:ascii="仿宋_GB2312" w:eastAsia="仿宋_GB2312"/>
          <w:color w:val="auto"/>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2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②</w:t>
      </w:r>
      <w:r>
        <w:rPr>
          <w:rFonts w:ascii="仿宋_GB2312" w:eastAsia="仿宋_GB2312"/>
          <w:color w:val="auto"/>
          <w:sz w:val="28"/>
          <w:szCs w:val="36"/>
        </w:rPr>
        <w:fldChar w:fldCharType="end"/>
      </w:r>
      <w:r>
        <w:rPr>
          <w:rFonts w:hint="eastAsia" w:ascii="仿宋_GB2312" w:eastAsia="仿宋_GB2312"/>
          <w:color w:val="auto"/>
          <w:sz w:val="28"/>
          <w:szCs w:val="36"/>
        </w:rPr>
        <w:t>资金投入和使用情况。重点评价资金分配过程、投入方式、资金到位、预算执行和结果。</w:t>
      </w:r>
    </w:p>
    <w:p>
      <w:pPr>
        <w:spacing w:line="360" w:lineRule="auto"/>
        <w:ind w:firstLine="560" w:firstLineChars="200"/>
        <w:rPr>
          <w:rFonts w:ascii="仿宋_GB2312" w:eastAsia="仿宋_GB2312"/>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3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③</w:t>
      </w:r>
      <w:r>
        <w:rPr>
          <w:rFonts w:ascii="仿宋_GB2312" w:eastAsia="仿宋_GB2312"/>
          <w:color w:val="auto"/>
          <w:sz w:val="28"/>
          <w:szCs w:val="36"/>
        </w:rPr>
        <w:fldChar w:fldCharType="end"/>
      </w:r>
      <w:r>
        <w:rPr>
          <w:rFonts w:hint="eastAsia" w:ascii="仿宋_GB2312" w:eastAsia="仿宋_GB2312"/>
          <w:color w:val="auto"/>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color w:val="auto"/>
          <w:sz w:val="28"/>
          <w:szCs w:val="36"/>
        </w:rPr>
      </w:pPr>
      <w:r>
        <w:rPr>
          <w:rFonts w:ascii="仿宋_GB2312" w:eastAsia="仿宋_GB2312"/>
          <w:color w:val="auto"/>
          <w:sz w:val="28"/>
          <w:szCs w:val="36"/>
        </w:rPr>
        <w:fldChar w:fldCharType="begin"/>
      </w:r>
      <w:r>
        <w:rPr>
          <w:rFonts w:ascii="仿宋_GB2312" w:eastAsia="仿宋_GB2312"/>
          <w:color w:val="auto"/>
          <w:sz w:val="28"/>
          <w:szCs w:val="36"/>
        </w:rPr>
        <w:instrText xml:space="preserve"> </w:instrText>
      </w:r>
      <w:r>
        <w:rPr>
          <w:rFonts w:hint="eastAsia" w:ascii="仿宋_GB2312" w:eastAsia="仿宋_GB2312"/>
          <w:color w:val="auto"/>
          <w:sz w:val="28"/>
          <w:szCs w:val="36"/>
        </w:rPr>
        <w:instrText xml:space="preserve">= 4 \* GB3</w:instrText>
      </w:r>
      <w:r>
        <w:rPr>
          <w:rFonts w:ascii="仿宋_GB2312" w:eastAsia="仿宋_GB2312"/>
          <w:color w:val="auto"/>
          <w:sz w:val="28"/>
          <w:szCs w:val="36"/>
        </w:rPr>
        <w:instrText xml:space="preserve"> </w:instrText>
      </w:r>
      <w:r>
        <w:rPr>
          <w:rFonts w:ascii="仿宋_GB2312" w:eastAsia="仿宋_GB2312"/>
          <w:color w:val="auto"/>
          <w:sz w:val="28"/>
          <w:szCs w:val="36"/>
        </w:rPr>
        <w:fldChar w:fldCharType="separate"/>
      </w:r>
      <w:r>
        <w:rPr>
          <w:rFonts w:hint="eastAsia" w:ascii="仿宋_GB2312" w:eastAsia="仿宋_GB2312"/>
          <w:color w:val="auto"/>
          <w:sz w:val="28"/>
          <w:szCs w:val="36"/>
        </w:rPr>
        <w:t>④</w:t>
      </w:r>
      <w:r>
        <w:rPr>
          <w:rFonts w:ascii="仿宋_GB2312" w:eastAsia="仿宋_GB2312"/>
          <w:color w:val="auto"/>
          <w:sz w:val="28"/>
          <w:szCs w:val="36"/>
        </w:rPr>
        <w:fldChar w:fldCharType="end"/>
      </w:r>
      <w:r>
        <w:rPr>
          <w:rFonts w:hint="eastAsia" w:ascii="仿宋_GB2312" w:eastAsia="仿宋_GB2312"/>
          <w:color w:val="auto"/>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（3）整体支出评价涉及对象及范围</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涉及对象：</w:t>
      </w:r>
      <w:r>
        <w:rPr>
          <w:rFonts w:hint="eastAsia" w:ascii="仿宋_GB2312" w:eastAsia="仿宋_GB2312"/>
          <w:color w:val="auto"/>
          <w:sz w:val="28"/>
          <w:szCs w:val="36"/>
        </w:rPr>
        <w:t>本次评价对象是</w:t>
      </w:r>
      <w:r>
        <w:rPr>
          <w:rFonts w:hint="eastAsia" w:ascii="仿宋_GB2312" w:eastAsia="仿宋_GB2312"/>
          <w:color w:val="auto"/>
          <w:sz w:val="28"/>
          <w:szCs w:val="36"/>
          <w:lang w:eastAsia="zh-CN"/>
        </w:rPr>
        <w:t>特克斯县退役军人事务局</w:t>
      </w:r>
      <w:r>
        <w:rPr>
          <w:rFonts w:hint="eastAsia" w:ascii="仿宋_GB2312" w:eastAsia="仿宋_GB2312"/>
          <w:color w:val="auto"/>
          <w:sz w:val="28"/>
          <w:szCs w:val="36"/>
        </w:rPr>
        <w:t>所有财政资金支出活动。</w:t>
      </w:r>
    </w:p>
    <w:p>
      <w:pPr>
        <w:spacing w:line="360" w:lineRule="auto"/>
        <w:ind w:firstLine="560" w:firstLineChars="200"/>
        <w:rPr>
          <w:rStyle w:val="16"/>
          <w:rFonts w:ascii="仿宋_GB2312" w:eastAsia="仿宋_GB2312"/>
          <w:b w:val="0"/>
          <w:bCs w:val="0"/>
          <w:color w:val="auto"/>
          <w:sz w:val="28"/>
          <w:szCs w:val="36"/>
        </w:rPr>
      </w:pPr>
      <w:r>
        <w:rPr>
          <w:rStyle w:val="16"/>
          <w:rFonts w:hint="eastAsia" w:ascii="仿宋_GB2312" w:eastAsia="仿宋_GB2312"/>
          <w:b w:val="0"/>
          <w:bCs w:val="0"/>
          <w:color w:val="auto"/>
          <w:sz w:val="28"/>
          <w:szCs w:val="36"/>
        </w:rPr>
        <w:t>整体支出评价范围：</w:t>
      </w:r>
    </w:p>
    <w:p>
      <w:pPr>
        <w:spacing w:line="360" w:lineRule="auto"/>
        <w:ind w:firstLine="544" w:firstLineChars="200"/>
        <w:rPr>
          <w:rStyle w:val="16"/>
          <w:rFonts w:hint="eastAsia" w:ascii="宋体" w:hAnsi="宋体" w:eastAsia="仿宋_GB2312"/>
          <w:bCs w:val="0"/>
          <w:color w:val="auto"/>
          <w:spacing w:val="-4"/>
          <w:sz w:val="28"/>
          <w:szCs w:val="28"/>
          <w:lang w:eastAsia="zh-CN"/>
        </w:rPr>
      </w:pPr>
      <w:r>
        <w:rPr>
          <w:rStyle w:val="16"/>
          <w:rFonts w:ascii="仿宋_GB2312" w:hAnsi="楷体" w:eastAsia="仿宋_GB2312"/>
          <w:b w:val="0"/>
          <w:color w:val="auto"/>
          <w:spacing w:val="-4"/>
          <w:sz w:val="28"/>
          <w:szCs w:val="28"/>
        </w:rPr>
        <w:fldChar w:fldCharType="begin"/>
      </w:r>
      <w:r>
        <w:rPr>
          <w:rStyle w:val="16"/>
          <w:rFonts w:ascii="仿宋_GB2312" w:hAnsi="楷体" w:eastAsia="仿宋_GB2312"/>
          <w:b w:val="0"/>
          <w:color w:val="auto"/>
          <w:spacing w:val="-4"/>
          <w:sz w:val="28"/>
          <w:szCs w:val="28"/>
        </w:rPr>
        <w:instrText xml:space="preserve"> </w:instrText>
      </w:r>
      <w:r>
        <w:rPr>
          <w:rStyle w:val="16"/>
          <w:rFonts w:hint="eastAsia" w:ascii="仿宋_GB2312" w:hAnsi="楷体" w:eastAsia="仿宋_GB2312"/>
          <w:b w:val="0"/>
          <w:color w:val="auto"/>
          <w:spacing w:val="-4"/>
          <w:sz w:val="28"/>
          <w:szCs w:val="28"/>
        </w:rPr>
        <w:instrText xml:space="preserve">= 1 \* GB3</w:instrText>
      </w:r>
      <w:r>
        <w:rPr>
          <w:rStyle w:val="16"/>
          <w:rFonts w:ascii="仿宋_GB2312" w:hAnsi="楷体" w:eastAsia="仿宋_GB2312"/>
          <w:b w:val="0"/>
          <w:color w:val="auto"/>
          <w:spacing w:val="-4"/>
          <w:sz w:val="28"/>
          <w:szCs w:val="28"/>
        </w:rPr>
        <w:instrText xml:space="preserve"> </w:instrText>
      </w:r>
      <w:r>
        <w:rPr>
          <w:rStyle w:val="16"/>
          <w:rFonts w:ascii="仿宋_GB2312" w:hAnsi="楷体" w:eastAsia="仿宋_GB2312"/>
          <w:b w:val="0"/>
          <w:color w:val="auto"/>
          <w:spacing w:val="-4"/>
          <w:sz w:val="28"/>
          <w:szCs w:val="28"/>
        </w:rPr>
        <w:fldChar w:fldCharType="separate"/>
      </w:r>
      <w:r>
        <w:rPr>
          <w:rStyle w:val="16"/>
          <w:rFonts w:hint="eastAsia" w:ascii="仿宋_GB2312" w:hAnsi="楷体" w:eastAsia="仿宋_GB2312"/>
          <w:b w:val="0"/>
          <w:color w:val="auto"/>
          <w:spacing w:val="-4"/>
          <w:sz w:val="28"/>
          <w:szCs w:val="28"/>
        </w:rPr>
        <w:t>①</w:t>
      </w:r>
      <w:r>
        <w:rPr>
          <w:rStyle w:val="16"/>
          <w:rFonts w:ascii="仿宋_GB2312" w:hAnsi="楷体" w:eastAsia="仿宋_GB2312"/>
          <w:b w:val="0"/>
          <w:color w:val="auto"/>
          <w:spacing w:val="-4"/>
          <w:sz w:val="28"/>
          <w:szCs w:val="28"/>
        </w:rPr>
        <w:fldChar w:fldCharType="end"/>
      </w:r>
      <w:r>
        <w:rPr>
          <w:rStyle w:val="16"/>
          <w:rFonts w:hint="eastAsia" w:ascii="仿宋_GB2312" w:hAnsi="楷体" w:eastAsia="仿宋_GB2312"/>
          <w:b w:val="0"/>
          <w:color w:val="auto"/>
          <w:spacing w:val="-4"/>
          <w:sz w:val="28"/>
          <w:szCs w:val="28"/>
        </w:rPr>
        <w:t>基本支出</w:t>
      </w:r>
      <w:r>
        <w:rPr>
          <w:rStyle w:val="16"/>
          <w:rFonts w:hint="eastAsia" w:ascii="仿宋_GB2312" w:hAnsi="楷体" w:eastAsia="仿宋_GB2312"/>
          <w:b w:val="0"/>
          <w:color w:val="auto"/>
          <w:spacing w:val="-4"/>
          <w:sz w:val="28"/>
          <w:szCs w:val="28"/>
          <w:lang w:val="en-US" w:eastAsia="zh-CN"/>
        </w:rPr>
        <w:t>312.90</w:t>
      </w:r>
      <w:r>
        <w:rPr>
          <w:rStyle w:val="16"/>
          <w:rFonts w:hint="eastAsia" w:ascii="仿宋_GB2312" w:hAnsi="楷体" w:eastAsia="仿宋_GB2312"/>
          <w:b w:val="0"/>
          <w:color w:val="auto"/>
          <w:spacing w:val="-4"/>
          <w:sz w:val="28"/>
          <w:szCs w:val="28"/>
        </w:rPr>
        <w:t>万元，其中：工资福利支出、商品和服务支出、对个人和家庭的补助支出</w:t>
      </w:r>
      <w:r>
        <w:rPr>
          <w:rStyle w:val="16"/>
          <w:rFonts w:hint="eastAsia" w:ascii="仿宋_GB2312" w:hAnsi="楷体" w:eastAsia="仿宋_GB2312"/>
          <w:b w:val="0"/>
          <w:color w:val="auto"/>
          <w:spacing w:val="-4"/>
          <w:sz w:val="28"/>
          <w:szCs w:val="28"/>
          <w:lang w:eastAsia="zh-CN"/>
        </w:rPr>
        <w:t>。</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fldChar w:fldCharType="begin"/>
      </w:r>
      <w:r>
        <w:rPr>
          <w:rStyle w:val="16"/>
          <w:rFonts w:ascii="仿宋_GB2312" w:hAnsi="楷体" w:eastAsia="仿宋_GB2312"/>
          <w:b w:val="0"/>
          <w:color w:val="auto"/>
          <w:spacing w:val="-4"/>
          <w:sz w:val="28"/>
          <w:szCs w:val="28"/>
        </w:rPr>
        <w:instrText xml:space="preserve"> </w:instrText>
      </w:r>
      <w:r>
        <w:rPr>
          <w:rStyle w:val="16"/>
          <w:rFonts w:hint="eastAsia" w:ascii="仿宋_GB2312" w:hAnsi="楷体" w:eastAsia="仿宋_GB2312"/>
          <w:b w:val="0"/>
          <w:color w:val="auto"/>
          <w:spacing w:val="-4"/>
          <w:sz w:val="28"/>
          <w:szCs w:val="28"/>
        </w:rPr>
        <w:instrText xml:space="preserve">= 2 \* GB3</w:instrText>
      </w:r>
      <w:r>
        <w:rPr>
          <w:rStyle w:val="16"/>
          <w:rFonts w:ascii="仿宋_GB2312" w:hAnsi="楷体" w:eastAsia="仿宋_GB2312"/>
          <w:b w:val="0"/>
          <w:color w:val="auto"/>
          <w:spacing w:val="-4"/>
          <w:sz w:val="28"/>
          <w:szCs w:val="28"/>
        </w:rPr>
        <w:instrText xml:space="preserve"> </w:instrText>
      </w:r>
      <w:r>
        <w:rPr>
          <w:rStyle w:val="16"/>
          <w:rFonts w:ascii="仿宋_GB2312" w:hAnsi="楷体" w:eastAsia="仿宋_GB2312"/>
          <w:b w:val="0"/>
          <w:color w:val="auto"/>
          <w:spacing w:val="-4"/>
          <w:sz w:val="28"/>
          <w:szCs w:val="28"/>
        </w:rPr>
        <w:fldChar w:fldCharType="separate"/>
      </w:r>
      <w:r>
        <w:rPr>
          <w:rStyle w:val="16"/>
          <w:rFonts w:hint="eastAsia" w:ascii="仿宋_GB2312" w:hAnsi="楷体" w:eastAsia="仿宋_GB2312"/>
          <w:b w:val="0"/>
          <w:color w:val="auto"/>
          <w:spacing w:val="-4"/>
          <w:sz w:val="28"/>
          <w:szCs w:val="28"/>
        </w:rPr>
        <w:t>②</w:t>
      </w:r>
      <w:r>
        <w:rPr>
          <w:rStyle w:val="16"/>
          <w:rFonts w:ascii="仿宋_GB2312" w:hAnsi="楷体" w:eastAsia="仿宋_GB2312"/>
          <w:b w:val="0"/>
          <w:color w:val="auto"/>
          <w:spacing w:val="-4"/>
          <w:sz w:val="28"/>
          <w:szCs w:val="28"/>
        </w:rPr>
        <w:fldChar w:fldCharType="end"/>
      </w:r>
      <w:r>
        <w:rPr>
          <w:rStyle w:val="16"/>
          <w:rFonts w:hint="eastAsia" w:ascii="仿宋_GB2312" w:hAnsi="楷体" w:eastAsia="仿宋_GB2312"/>
          <w:b w:val="0"/>
          <w:color w:val="auto"/>
          <w:spacing w:val="-4"/>
          <w:sz w:val="28"/>
          <w:szCs w:val="28"/>
        </w:rPr>
        <w:t>项目支出</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val="en-US" w:eastAsia="zh-CN"/>
        </w:rPr>
        <w:t>2021年优抚对象补助经费</w:t>
      </w:r>
      <w:r>
        <w:rPr>
          <w:rStyle w:val="16"/>
          <w:rFonts w:hint="eastAsia" w:ascii="仿宋_GB2312" w:hAnsi="楷体" w:eastAsia="仿宋_GB2312"/>
          <w:b w:val="0"/>
          <w:color w:val="auto"/>
          <w:spacing w:val="-4"/>
          <w:sz w:val="28"/>
          <w:szCs w:val="28"/>
        </w:rPr>
        <w:t>项目</w:t>
      </w:r>
      <w:r>
        <w:rPr>
          <w:rStyle w:val="16"/>
          <w:rFonts w:hint="eastAsia" w:ascii="仿宋_GB2312" w:hAnsi="楷体" w:eastAsia="仿宋_GB2312"/>
          <w:b w:val="0"/>
          <w:color w:val="auto"/>
          <w:spacing w:val="-4"/>
          <w:sz w:val="28"/>
          <w:szCs w:val="28"/>
          <w:lang w:eastAsia="zh-CN"/>
        </w:rPr>
        <w:t>；退役安置补助</w:t>
      </w:r>
      <w:r>
        <w:rPr>
          <w:rStyle w:val="16"/>
          <w:rFonts w:hint="eastAsia" w:ascii="仿宋_GB2312" w:hAnsi="楷体" w:eastAsia="仿宋_GB2312"/>
          <w:b w:val="0"/>
          <w:color w:val="auto"/>
          <w:spacing w:val="-4"/>
          <w:sz w:val="28"/>
          <w:szCs w:val="28"/>
        </w:rPr>
        <w:t>项目</w:t>
      </w:r>
      <w:r>
        <w:rPr>
          <w:rStyle w:val="16"/>
          <w:rFonts w:hint="eastAsia" w:ascii="仿宋_GB2312" w:hAnsi="楷体" w:eastAsia="仿宋_GB2312"/>
          <w:b w:val="0"/>
          <w:color w:val="auto"/>
          <w:spacing w:val="-4"/>
          <w:sz w:val="28"/>
          <w:szCs w:val="28"/>
          <w:lang w:eastAsia="zh-CN"/>
        </w:rPr>
        <w:t>；军队转业干部补助；</w:t>
      </w:r>
      <w:r>
        <w:rPr>
          <w:rStyle w:val="16"/>
          <w:rFonts w:hint="eastAsia" w:ascii="仿宋_GB2312" w:hAnsi="楷体" w:eastAsia="仿宋_GB2312"/>
          <w:b w:val="0"/>
          <w:color w:val="auto"/>
          <w:spacing w:val="-4"/>
          <w:sz w:val="28"/>
          <w:szCs w:val="28"/>
          <w:lang w:val="en-US" w:eastAsia="zh-CN"/>
        </w:rPr>
        <w:t>退役安置补助项目部分退役士兵社保接续。</w:t>
      </w:r>
    </w:p>
    <w:p>
      <w:pPr>
        <w:pStyle w:val="3"/>
        <w:spacing w:line="360" w:lineRule="auto"/>
        <w:rPr>
          <w:rFonts w:ascii="仿宋" w:hAnsi="仿宋" w:eastAsia="仿宋"/>
          <w:color w:val="auto"/>
          <w:sz w:val="36"/>
          <w:szCs w:val="36"/>
          <w:lang w:bidi="ar"/>
        </w:rPr>
      </w:pPr>
      <w:bookmarkStart w:id="10" w:name="_Toc70450297"/>
      <w:r>
        <w:rPr>
          <w:rFonts w:hint="eastAsia" w:ascii="仿宋" w:hAnsi="仿宋" w:eastAsia="仿宋"/>
          <w:color w:val="auto"/>
          <w:sz w:val="36"/>
          <w:szCs w:val="36"/>
          <w:lang w:bidi="ar"/>
        </w:rPr>
        <w:t>二、部门单位整体支出管理及使用情况</w:t>
      </w:r>
      <w:bookmarkEnd w:id="10"/>
    </w:p>
    <w:p>
      <w:pPr>
        <w:pStyle w:val="4"/>
        <w:spacing w:line="360" w:lineRule="auto"/>
        <w:rPr>
          <w:rStyle w:val="16"/>
          <w:rFonts w:ascii="仿宋" w:hAnsi="仿宋" w:eastAsia="仿宋"/>
          <w:b/>
          <w:bCs/>
          <w:color w:val="auto"/>
        </w:rPr>
      </w:pPr>
      <w:bookmarkStart w:id="11" w:name="_Toc70450298"/>
      <w:r>
        <w:rPr>
          <w:rStyle w:val="16"/>
          <w:rFonts w:hint="eastAsia" w:ascii="仿宋" w:hAnsi="仿宋" w:eastAsia="仿宋"/>
          <w:b/>
          <w:bCs/>
          <w:color w:val="auto"/>
        </w:rPr>
        <w:t>（一）预算管理</w:t>
      </w:r>
      <w:bookmarkEnd w:id="11"/>
    </w:p>
    <w:p>
      <w:pPr>
        <w:pStyle w:val="5"/>
        <w:spacing w:line="360" w:lineRule="auto"/>
        <w:ind w:firstLine="562" w:firstLineChars="200"/>
        <w:rPr>
          <w:rStyle w:val="16"/>
          <w:rFonts w:ascii="仿宋" w:hAnsi="仿宋" w:eastAsia="仿宋"/>
          <w:b/>
          <w:bCs/>
          <w:color w:val="auto"/>
        </w:rPr>
      </w:pPr>
      <w:bookmarkStart w:id="12" w:name="_Toc70450299"/>
      <w:r>
        <w:rPr>
          <w:rStyle w:val="16"/>
          <w:rFonts w:ascii="仿宋" w:hAnsi="仿宋" w:eastAsia="仿宋"/>
          <w:b/>
          <w:bCs/>
          <w:color w:val="auto"/>
        </w:rPr>
        <w:t>1</w:t>
      </w:r>
      <w:r>
        <w:rPr>
          <w:rStyle w:val="16"/>
          <w:rFonts w:hint="eastAsia" w:ascii="仿宋" w:hAnsi="仿宋" w:eastAsia="仿宋"/>
          <w:b/>
          <w:bCs/>
          <w:color w:val="auto"/>
        </w:rPr>
        <w:t>、预算编制管理</w:t>
      </w:r>
      <w:bookmarkEnd w:id="12"/>
    </w:p>
    <w:p>
      <w:pPr>
        <w:spacing w:line="360" w:lineRule="auto"/>
        <w:ind w:firstLine="506" w:firstLineChars="181"/>
        <w:rPr>
          <w:rStyle w:val="16"/>
          <w:rFonts w:hint="eastAsia" w:asciiTheme="minorEastAsia" w:hAnsiTheme="minorEastAsia" w:eastAsiaTheme="minorEastAsia"/>
          <w:color w:val="auto"/>
          <w:spacing w:val="-4"/>
          <w:sz w:val="28"/>
          <w:szCs w:val="28"/>
          <w:lang w:eastAsia="zh-CN"/>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eastAsia="zh-CN"/>
        </w:rPr>
        <w:t>县财政局的</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eastAsia="zh-CN"/>
        </w:rPr>
        <w:t>特克斯县人民政府网站</w:t>
      </w:r>
      <w:r>
        <w:rPr>
          <w:rFonts w:hint="eastAsia" w:ascii="仿宋_GB2312" w:eastAsia="仿宋_GB2312"/>
          <w:color w:val="auto"/>
          <w:sz w:val="28"/>
          <w:szCs w:val="36"/>
        </w:rPr>
        <w:t>公开，</w:t>
      </w:r>
      <w:r>
        <w:rPr>
          <w:rFonts w:ascii="仿宋_GB2312" w:eastAsia="仿宋_GB2312"/>
          <w:color w:val="auto"/>
          <w:sz w:val="28"/>
          <w:szCs w:val="36"/>
          <w:lang w:val="zh-CN"/>
        </w:rPr>
        <w:t>广泛接受社会监督</w:t>
      </w:r>
      <w:r>
        <w:rPr>
          <w:rFonts w:hint="eastAsia" w:ascii="仿宋_GB2312" w:eastAsia="仿宋_GB2312"/>
          <w:color w:val="auto"/>
          <w:sz w:val="28"/>
          <w:szCs w:val="36"/>
          <w:lang w:val="zh-CN"/>
        </w:rPr>
        <w:t>。</w:t>
      </w:r>
    </w:p>
    <w:p>
      <w:pPr>
        <w:pStyle w:val="5"/>
        <w:spacing w:line="360" w:lineRule="auto"/>
        <w:ind w:firstLine="562" w:firstLineChars="200"/>
        <w:rPr>
          <w:rStyle w:val="16"/>
          <w:rFonts w:ascii="仿宋" w:hAnsi="仿宋" w:eastAsia="仿宋"/>
          <w:b/>
          <w:bCs/>
          <w:color w:val="auto"/>
        </w:rPr>
      </w:pPr>
      <w:bookmarkStart w:id="13" w:name="_Toc70450300"/>
      <w:r>
        <w:rPr>
          <w:rStyle w:val="16"/>
          <w:rFonts w:hint="eastAsia" w:ascii="仿宋" w:hAnsi="仿宋" w:eastAsia="仿宋"/>
          <w:b/>
          <w:bCs/>
          <w:color w:val="auto"/>
        </w:rPr>
        <w:t>2</w:t>
      </w:r>
      <w:r>
        <w:rPr>
          <w:rStyle w:val="16"/>
          <w:rFonts w:ascii="仿宋" w:hAnsi="仿宋" w:eastAsia="仿宋"/>
          <w:b/>
          <w:bCs/>
          <w:color w:val="auto"/>
        </w:rPr>
        <w:t>、预算</w:t>
      </w:r>
      <w:r>
        <w:rPr>
          <w:rStyle w:val="16"/>
          <w:rFonts w:hint="eastAsia" w:ascii="仿宋" w:hAnsi="仿宋" w:eastAsia="仿宋"/>
          <w:b/>
          <w:bCs/>
          <w:color w:val="auto"/>
        </w:rPr>
        <w:t>支出</w:t>
      </w:r>
      <w:r>
        <w:rPr>
          <w:rStyle w:val="16"/>
          <w:rFonts w:ascii="仿宋" w:hAnsi="仿宋" w:eastAsia="仿宋"/>
          <w:b/>
          <w:bCs/>
          <w:color w:val="auto"/>
        </w:rPr>
        <w:t>管理</w:t>
      </w:r>
      <w:bookmarkEnd w:id="13"/>
    </w:p>
    <w:p>
      <w:pPr>
        <w:spacing w:line="360" w:lineRule="auto"/>
        <w:ind w:firstLine="560" w:firstLineChars="200"/>
        <w:rPr>
          <w:rStyle w:val="16"/>
          <w:b w:val="0"/>
          <w:bCs w:val="0"/>
          <w:color w:val="auto"/>
          <w:highlight w:val="none"/>
        </w:rPr>
      </w:pPr>
      <w:r>
        <w:rPr>
          <w:rFonts w:hint="eastAsia" w:ascii="仿宋_GB2312" w:eastAsia="仿宋_GB2312"/>
          <w:color w:val="auto"/>
          <w:sz w:val="28"/>
          <w:szCs w:val="36"/>
          <w:highlight w:val="none"/>
        </w:rPr>
        <w:t>我</w:t>
      </w:r>
      <w:r>
        <w:rPr>
          <w:rStyle w:val="16"/>
          <w:rFonts w:hint="eastAsia" w:ascii="仿宋_GB2312" w:hAnsi="楷体" w:eastAsia="仿宋_GB2312"/>
          <w:b w:val="0"/>
          <w:color w:val="auto"/>
          <w:spacing w:val="-4"/>
          <w:sz w:val="28"/>
          <w:szCs w:val="28"/>
          <w:highlight w:val="none"/>
        </w:rPr>
        <w:t>单位</w:t>
      </w:r>
      <w:r>
        <w:rPr>
          <w:rFonts w:hint="eastAsia" w:ascii="仿宋_GB2312" w:eastAsia="仿宋_GB2312"/>
          <w:color w:val="auto"/>
          <w:sz w:val="28"/>
          <w:szCs w:val="36"/>
          <w:highlight w:val="none"/>
        </w:rPr>
        <w:t>按照财政要求基本支出分月度申报资金使用计划，由财政部门按照进度每月按期拨付，人员支出按照工资计划发放工资；依照</w:t>
      </w:r>
      <w:r>
        <w:rPr>
          <w:rFonts w:hint="eastAsia" w:ascii="仿宋_GB2312" w:eastAsia="仿宋_GB2312"/>
          <w:sz w:val="28"/>
          <w:szCs w:val="36"/>
          <w:highlight w:val="none"/>
        </w:rPr>
        <w:t>《内部控制制度》相关规定和《财务支付管理制度》规定流程，资金支出按照我内控体系中设定的流程申报审批进行；</w:t>
      </w:r>
      <w:r>
        <w:rPr>
          <w:rFonts w:hint="eastAsia" w:ascii="仿宋_GB2312" w:eastAsia="仿宋_GB2312"/>
          <w:color w:val="auto"/>
          <w:sz w:val="28"/>
          <w:szCs w:val="36"/>
          <w:highlight w:val="none"/>
        </w:rPr>
        <w:t>资金支出按照我内控体系中设定的流程申报审批进行；项目支出属于政府采购的，</w:t>
      </w:r>
      <w:r>
        <w:rPr>
          <w:rFonts w:hint="eastAsia" w:ascii="仿宋_GB2312" w:eastAsia="仿宋_GB2312"/>
          <w:sz w:val="28"/>
          <w:szCs w:val="36"/>
          <w:highlight w:val="none"/>
        </w:rPr>
        <w:t>按照局预算管理制度</w:t>
      </w:r>
      <w:r>
        <w:rPr>
          <w:rFonts w:hint="eastAsia" w:ascii="仿宋_GB2312" w:eastAsia="仿宋_GB2312"/>
          <w:color w:val="auto"/>
          <w:sz w:val="28"/>
          <w:szCs w:val="36"/>
          <w:highlight w:val="none"/>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color w:val="auto"/>
          <w:sz w:val="28"/>
          <w:szCs w:val="28"/>
        </w:rPr>
      </w:pPr>
      <w:bookmarkStart w:id="14" w:name="_Toc70450301"/>
      <w:r>
        <w:rPr>
          <w:rStyle w:val="16"/>
          <w:rFonts w:hint="eastAsia"/>
          <w:b/>
          <w:bCs/>
          <w:color w:val="auto"/>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2021年基本支出预算安排</w:t>
      </w:r>
      <w:r>
        <w:rPr>
          <w:rStyle w:val="16"/>
          <w:rFonts w:hint="eastAsia" w:ascii="仿宋_GB2312" w:hAnsi="楷体" w:eastAsia="仿宋_GB2312"/>
          <w:b w:val="0"/>
          <w:color w:val="auto"/>
          <w:spacing w:val="-4"/>
          <w:sz w:val="28"/>
          <w:szCs w:val="28"/>
          <w:lang w:val="en-US" w:eastAsia="zh-CN"/>
        </w:rPr>
        <w:t>312.90</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312.90</w:t>
      </w:r>
      <w:r>
        <w:rPr>
          <w:rStyle w:val="16"/>
          <w:rFonts w:hint="eastAsia" w:ascii="仿宋_GB2312" w:hAnsi="楷体" w:eastAsia="仿宋_GB2312"/>
          <w:b w:val="0"/>
          <w:color w:val="auto"/>
          <w:spacing w:val="-4"/>
          <w:sz w:val="28"/>
          <w:szCs w:val="28"/>
        </w:rPr>
        <w:t>万元,实际支出</w:t>
      </w:r>
      <w:r>
        <w:rPr>
          <w:rStyle w:val="16"/>
          <w:rFonts w:hint="eastAsia" w:ascii="仿宋_GB2312" w:hAnsi="楷体" w:eastAsia="仿宋_GB2312"/>
          <w:b w:val="0"/>
          <w:color w:val="auto"/>
          <w:spacing w:val="-4"/>
          <w:sz w:val="28"/>
          <w:szCs w:val="28"/>
          <w:lang w:val="en-US" w:eastAsia="zh-CN"/>
        </w:rPr>
        <w:t>312.90</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40.68</w:t>
      </w:r>
      <w:r>
        <w:rPr>
          <w:rStyle w:val="16"/>
          <w:rFonts w:hint="eastAsia" w:ascii="仿宋_GB2312" w:hAnsi="楷体" w:eastAsia="仿宋_GB2312"/>
          <w:b w:val="0"/>
          <w:color w:val="auto"/>
          <w:spacing w:val="-4"/>
          <w:sz w:val="28"/>
          <w:szCs w:val="28"/>
        </w:rPr>
        <w:t>％，其中：工资福利支出</w:t>
      </w:r>
      <w:r>
        <w:rPr>
          <w:rStyle w:val="16"/>
          <w:rFonts w:hint="eastAsia" w:ascii="仿宋_GB2312" w:hAnsi="楷体" w:eastAsia="仿宋_GB2312"/>
          <w:b w:val="0"/>
          <w:color w:val="auto"/>
          <w:spacing w:val="-4"/>
          <w:sz w:val="28"/>
          <w:szCs w:val="28"/>
          <w:lang w:val="en-US" w:eastAsia="zh-CN"/>
        </w:rPr>
        <w:t>87.48</w:t>
      </w:r>
      <w:r>
        <w:rPr>
          <w:rStyle w:val="16"/>
          <w:rFonts w:hint="eastAsia" w:ascii="仿宋_GB2312" w:hAnsi="楷体" w:eastAsia="仿宋_GB2312"/>
          <w:b w:val="0"/>
          <w:color w:val="auto"/>
          <w:spacing w:val="-4"/>
          <w:sz w:val="28"/>
          <w:szCs w:val="28"/>
        </w:rPr>
        <w:t>万元、商品和服务支出</w:t>
      </w:r>
      <w:r>
        <w:rPr>
          <w:rStyle w:val="16"/>
          <w:rFonts w:hint="eastAsia" w:ascii="仿宋_GB2312" w:hAnsi="楷体" w:eastAsia="仿宋_GB2312"/>
          <w:b w:val="0"/>
          <w:color w:val="auto"/>
          <w:spacing w:val="-4"/>
          <w:sz w:val="28"/>
          <w:szCs w:val="28"/>
          <w:lang w:val="en-US" w:eastAsia="zh-CN"/>
        </w:rPr>
        <w:t>1.59</w:t>
      </w:r>
      <w:r>
        <w:rPr>
          <w:rStyle w:val="16"/>
          <w:rFonts w:hint="eastAsia" w:ascii="仿宋_GB2312" w:hAnsi="楷体" w:eastAsia="仿宋_GB2312"/>
          <w:b w:val="0"/>
          <w:color w:val="auto"/>
          <w:spacing w:val="-4"/>
          <w:sz w:val="28"/>
          <w:szCs w:val="28"/>
        </w:rPr>
        <w:t>万元、对个人和家庭的补助</w:t>
      </w:r>
      <w:r>
        <w:rPr>
          <w:rStyle w:val="16"/>
          <w:rFonts w:hint="eastAsia" w:ascii="仿宋_GB2312" w:hAnsi="楷体" w:eastAsia="仿宋_GB2312"/>
          <w:b w:val="0"/>
          <w:color w:val="auto"/>
          <w:spacing w:val="-4"/>
          <w:sz w:val="28"/>
          <w:szCs w:val="28"/>
          <w:lang w:val="en-US" w:eastAsia="zh-CN"/>
        </w:rPr>
        <w:t>223.83</w:t>
      </w:r>
      <w:r>
        <w:rPr>
          <w:rStyle w:val="16"/>
          <w:rFonts w:hint="eastAsia" w:ascii="仿宋_GB2312" w:hAnsi="楷体" w:eastAsia="仿宋_GB2312"/>
          <w:b w:val="0"/>
          <w:color w:val="auto"/>
          <w:spacing w:val="-4"/>
          <w:sz w:val="28"/>
          <w:szCs w:val="28"/>
        </w:rPr>
        <w:t>万元、主要用于在职人员基本工资、津贴补贴</w:t>
      </w:r>
      <w:r>
        <w:rPr>
          <w:rStyle w:val="16"/>
          <w:rFonts w:hint="eastAsia" w:ascii="仿宋_GB2312" w:hAnsi="楷体" w:eastAsia="仿宋_GB2312"/>
          <w:b w:val="0"/>
          <w:color w:val="auto"/>
          <w:spacing w:val="-4"/>
          <w:sz w:val="28"/>
          <w:szCs w:val="28"/>
          <w:lang w:eastAsia="zh-CN"/>
        </w:rPr>
        <w:t>、机关失业单位养老保险缴费、卫生健康支出、住房公积金</w:t>
      </w:r>
      <w:r>
        <w:rPr>
          <w:rStyle w:val="16"/>
          <w:rFonts w:hint="eastAsia" w:ascii="仿宋_GB2312" w:hAnsi="楷体" w:eastAsia="仿宋_GB2312"/>
          <w:b w:val="0"/>
          <w:color w:val="auto"/>
          <w:spacing w:val="-4"/>
          <w:sz w:val="28"/>
          <w:szCs w:val="28"/>
        </w:rPr>
        <w:t>等人员经费。办公费、印刷费、水电费、办公设备购置</w:t>
      </w:r>
      <w:r>
        <w:rPr>
          <w:rStyle w:val="16"/>
          <w:rFonts w:hint="eastAsia" w:ascii="仿宋_GB2312" w:hAnsi="楷体" w:eastAsia="仿宋_GB2312"/>
          <w:b w:val="0"/>
          <w:color w:val="auto"/>
          <w:spacing w:val="-4"/>
          <w:sz w:val="28"/>
          <w:szCs w:val="28"/>
          <w:lang w:eastAsia="zh-CN"/>
        </w:rPr>
        <w:t>、伤残护理费、义务兵家庭优待金、退役士兵安置和其他退役士兵安置支出</w:t>
      </w:r>
      <w:r>
        <w:rPr>
          <w:rStyle w:val="16"/>
          <w:rFonts w:hint="eastAsia" w:ascii="仿宋_GB2312" w:hAnsi="楷体" w:eastAsia="仿宋_GB2312"/>
          <w:b w:val="0"/>
          <w:color w:val="auto"/>
          <w:spacing w:val="-4"/>
          <w:sz w:val="28"/>
          <w:szCs w:val="28"/>
        </w:rPr>
        <w:t>。资本性支出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spacing w:line="360" w:lineRule="auto"/>
        <w:ind w:firstLine="492" w:firstLineChars="181"/>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2021年基本支出比上年</w:t>
      </w:r>
      <w:r>
        <w:rPr>
          <w:rStyle w:val="16"/>
          <w:rFonts w:hint="eastAsia" w:ascii="仿宋_GB2312" w:hAnsi="楷体" w:eastAsia="仿宋_GB2312"/>
          <w:b w:val="0"/>
          <w:color w:val="auto"/>
          <w:spacing w:val="-4"/>
          <w:sz w:val="28"/>
          <w:szCs w:val="28"/>
          <w:highlight w:val="none"/>
          <w:lang w:val="en-US" w:eastAsia="zh-CN"/>
        </w:rPr>
        <w:t>84.25</w:t>
      </w:r>
      <w:r>
        <w:rPr>
          <w:rStyle w:val="16"/>
          <w:rFonts w:hint="eastAsia" w:ascii="仿宋_GB2312" w:hAnsi="楷体" w:eastAsia="仿宋_GB2312"/>
          <w:b w:val="0"/>
          <w:color w:val="auto"/>
          <w:spacing w:val="-4"/>
          <w:sz w:val="28"/>
          <w:szCs w:val="28"/>
          <w:highlight w:val="none"/>
        </w:rPr>
        <w:t>万元,增加</w:t>
      </w:r>
      <w:r>
        <w:rPr>
          <w:rStyle w:val="16"/>
          <w:rFonts w:hint="eastAsia" w:ascii="仿宋_GB2312" w:hAnsi="楷体" w:eastAsia="仿宋_GB2312"/>
          <w:b w:val="0"/>
          <w:color w:val="auto"/>
          <w:spacing w:val="-4"/>
          <w:sz w:val="28"/>
          <w:szCs w:val="28"/>
          <w:highlight w:val="none"/>
          <w:lang w:val="en-US" w:eastAsia="zh-CN"/>
        </w:rPr>
        <w:t>230.45</w:t>
      </w:r>
      <w:r>
        <w:rPr>
          <w:rStyle w:val="16"/>
          <w:rFonts w:hint="eastAsia" w:ascii="仿宋_GB2312" w:hAnsi="楷体" w:eastAsia="仿宋_GB2312"/>
          <w:b w:val="0"/>
          <w:color w:val="auto"/>
          <w:spacing w:val="-4"/>
          <w:sz w:val="28"/>
          <w:szCs w:val="28"/>
          <w:highlight w:val="none"/>
        </w:rPr>
        <w:t>万元，上升</w:t>
      </w:r>
      <w:r>
        <w:rPr>
          <w:rStyle w:val="16"/>
          <w:rFonts w:hint="eastAsia" w:ascii="仿宋_GB2312" w:hAnsi="宋体" w:eastAsia="仿宋_GB2312"/>
          <w:b w:val="0"/>
          <w:bCs w:val="0"/>
          <w:color w:val="auto"/>
          <w:spacing w:val="-4"/>
          <w:sz w:val="28"/>
          <w:szCs w:val="28"/>
          <w:highlight w:val="none"/>
          <w:lang w:val="en-US" w:eastAsia="zh-CN"/>
        </w:rPr>
        <w:t>279.50</w:t>
      </w:r>
      <w:r>
        <w:rPr>
          <w:rStyle w:val="16"/>
          <w:rFonts w:ascii="仿宋_GB2312" w:hAnsi="宋体" w:eastAsia="仿宋_GB2312"/>
          <w:b w:val="0"/>
          <w:bCs w:val="0"/>
          <w:color w:val="auto"/>
          <w:spacing w:val="-4"/>
          <w:sz w:val="28"/>
          <w:szCs w:val="28"/>
          <w:highlight w:val="none"/>
        </w:rPr>
        <w:t>%</w:t>
      </w:r>
      <w:r>
        <w:rPr>
          <w:rStyle w:val="16"/>
          <w:rFonts w:hint="eastAsia" w:ascii="仿宋_GB2312" w:hAnsi="楷体" w:eastAsia="仿宋_GB2312"/>
          <w:b w:val="0"/>
          <w:color w:val="auto"/>
          <w:spacing w:val="-4"/>
          <w:sz w:val="28"/>
          <w:szCs w:val="28"/>
          <w:highlight w:val="none"/>
        </w:rPr>
        <w:t>，支出上升的主要原因是</w:t>
      </w:r>
      <w:r>
        <w:rPr>
          <w:rStyle w:val="16"/>
          <w:rFonts w:hint="eastAsia" w:ascii="仿宋_GB2312" w:hAnsi="楷体" w:eastAsia="仿宋_GB2312"/>
          <w:b w:val="0"/>
          <w:color w:val="auto"/>
          <w:spacing w:val="-4"/>
          <w:sz w:val="28"/>
          <w:szCs w:val="28"/>
          <w:highlight w:val="none"/>
          <w:lang w:eastAsia="zh-CN"/>
        </w:rPr>
        <w:t>伤残护理费、义务兵家庭优待金、退役士兵安置和其他退役士兵安置支出放到基本支出，</w:t>
      </w:r>
      <w:r>
        <w:rPr>
          <w:rStyle w:val="16"/>
          <w:rFonts w:hint="eastAsia" w:ascii="仿宋_GB2312" w:hAnsi="楷体" w:eastAsia="仿宋_GB2312"/>
          <w:b w:val="0"/>
          <w:spacing w:val="-4"/>
          <w:sz w:val="28"/>
          <w:szCs w:val="28"/>
          <w:highlight w:val="none"/>
          <w:lang w:val="en-US" w:eastAsia="zh-CN"/>
        </w:rPr>
        <w:t>组织部任命人事调整，</w:t>
      </w:r>
      <w:r>
        <w:rPr>
          <w:rStyle w:val="16"/>
          <w:rFonts w:hint="eastAsia" w:ascii="仿宋_GB2312" w:hAnsi="楷体" w:eastAsia="仿宋_GB2312"/>
          <w:b w:val="0"/>
          <w:spacing w:val="-4"/>
          <w:sz w:val="28"/>
          <w:szCs w:val="28"/>
          <w:highlight w:val="none"/>
        </w:rPr>
        <w:t>调入2人</w:t>
      </w:r>
      <w:r>
        <w:rPr>
          <w:rStyle w:val="16"/>
          <w:rFonts w:hint="eastAsia" w:ascii="仿宋_GB2312" w:hAnsi="楷体" w:eastAsia="仿宋_GB2312"/>
          <w:b w:val="0"/>
          <w:color w:val="auto"/>
          <w:spacing w:val="-4"/>
          <w:sz w:val="28"/>
          <w:szCs w:val="28"/>
          <w:highlight w:val="none"/>
        </w:rPr>
        <w:t>。</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年一般公共预算“三公”经费数为</w:t>
      </w:r>
      <w:r>
        <w:rPr>
          <w:rStyle w:val="16"/>
          <w:rFonts w:hint="eastAsia" w:ascii="仿宋_GB2312" w:hAnsi="楷体" w:eastAsia="仿宋_GB2312"/>
          <w:b w:val="0"/>
          <w:color w:val="auto"/>
          <w:spacing w:val="-4"/>
          <w:sz w:val="28"/>
          <w:szCs w:val="28"/>
          <w:lang w:val="en-US" w:eastAsia="zh-CN"/>
        </w:rPr>
        <w:t>0.8</w:t>
      </w:r>
      <w:r>
        <w:rPr>
          <w:rStyle w:val="16"/>
          <w:rFonts w:hint="eastAsia" w:ascii="仿宋_GB2312" w:hAnsi="楷体" w:eastAsia="仿宋_GB2312"/>
          <w:b w:val="0"/>
          <w:color w:val="auto"/>
          <w:spacing w:val="-4"/>
          <w:sz w:val="28"/>
          <w:szCs w:val="28"/>
        </w:rPr>
        <w:t>万元，其中：因公出国（境）费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万元，公务用车购置</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万元，公务用车运行费</w:t>
      </w:r>
      <w:r>
        <w:rPr>
          <w:rStyle w:val="16"/>
          <w:rFonts w:hint="eastAsia" w:ascii="仿宋_GB2312" w:hAnsi="楷体" w:eastAsia="仿宋_GB2312"/>
          <w:b w:val="0"/>
          <w:color w:val="auto"/>
          <w:spacing w:val="-4"/>
          <w:sz w:val="28"/>
          <w:szCs w:val="28"/>
          <w:lang w:val="en-US" w:eastAsia="zh-CN"/>
        </w:rPr>
        <w:t>0.8</w:t>
      </w:r>
      <w:r>
        <w:rPr>
          <w:rStyle w:val="16"/>
          <w:rFonts w:hint="eastAsia" w:ascii="仿宋_GB2312" w:hAnsi="楷体" w:eastAsia="仿宋_GB2312"/>
          <w:b w:val="0"/>
          <w:color w:val="auto"/>
          <w:spacing w:val="-4"/>
          <w:sz w:val="28"/>
          <w:szCs w:val="28"/>
        </w:rPr>
        <w:t>万元，公务接待费</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年一般公共预算“三公”经费比上年增加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万元，其中：因公出国（境）费增加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万元，主要原因是未安排预算；公务用车购置费为0，未安排预算</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公务用车运行费增加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w:t>
      </w:r>
      <w:r>
        <w:rPr>
          <w:rStyle w:val="16"/>
          <w:rFonts w:hint="eastAsia" w:ascii="仿宋_GB2312" w:hAnsi="楷体" w:eastAsia="仿宋_GB2312"/>
          <w:b w:val="0"/>
          <w:color w:val="auto"/>
          <w:spacing w:val="-4"/>
          <w:sz w:val="28"/>
          <w:szCs w:val="28"/>
          <w:lang w:val="en-US" w:eastAsia="zh-CN"/>
        </w:rPr>
        <w:t>无变化</w:t>
      </w:r>
      <w:r>
        <w:rPr>
          <w:rStyle w:val="16"/>
          <w:rFonts w:hint="eastAsia" w:ascii="仿宋_GB2312" w:hAnsi="楷体" w:eastAsia="仿宋_GB2312"/>
          <w:b w:val="0"/>
          <w:color w:val="auto"/>
          <w:spacing w:val="-4"/>
          <w:sz w:val="28"/>
          <w:szCs w:val="28"/>
        </w:rPr>
        <w:t>；公务接待费增加</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万元，主要原因是未安排预算。</w:t>
      </w:r>
    </w:p>
    <w:p>
      <w:pPr>
        <w:pStyle w:val="4"/>
        <w:spacing w:line="360" w:lineRule="auto"/>
        <w:rPr>
          <w:rStyle w:val="16"/>
          <w:rFonts w:ascii="仿宋" w:hAnsi="仿宋" w:eastAsia="仿宋"/>
          <w:b/>
          <w:bCs/>
          <w:color w:val="auto"/>
        </w:rPr>
      </w:pPr>
      <w:bookmarkStart w:id="15" w:name="_Toc70450302"/>
      <w:r>
        <w:rPr>
          <w:rStyle w:val="16"/>
          <w:rFonts w:hint="eastAsia" w:ascii="仿宋" w:hAnsi="仿宋" w:eastAsia="仿宋"/>
          <w:b/>
          <w:bCs/>
          <w:color w:val="auto"/>
        </w:rPr>
        <w:t>（三）专项支出管理及使用情况</w:t>
      </w:r>
      <w:bookmarkEnd w:id="15"/>
    </w:p>
    <w:p>
      <w:pPr>
        <w:pStyle w:val="5"/>
        <w:spacing w:line="360" w:lineRule="auto"/>
        <w:ind w:firstLine="562" w:firstLineChars="200"/>
        <w:rPr>
          <w:rStyle w:val="16"/>
          <w:rFonts w:ascii="仿宋" w:hAnsi="仿宋" w:eastAsia="仿宋"/>
          <w:b/>
          <w:bCs/>
          <w:color w:val="auto"/>
        </w:rPr>
      </w:pPr>
      <w:bookmarkStart w:id="16" w:name="_Toc70450303"/>
      <w:r>
        <w:rPr>
          <w:rStyle w:val="16"/>
          <w:rFonts w:hint="eastAsia" w:ascii="仿宋" w:hAnsi="仿宋" w:eastAsia="仿宋"/>
          <w:b/>
          <w:bCs/>
          <w:color w:val="auto"/>
        </w:rPr>
        <w:t>1、专项资金安排落实、总投入等情况分析</w:t>
      </w:r>
      <w:bookmarkEnd w:id="16"/>
    </w:p>
    <w:p>
      <w:pPr>
        <w:spacing w:line="360" w:lineRule="auto"/>
        <w:ind w:firstLine="492" w:firstLineChars="181"/>
        <w:rPr>
          <w:rStyle w:val="16"/>
          <w:rFonts w:ascii="仿宋_GB2312" w:hAnsi="楷体" w:eastAsia="仿宋_GB2312"/>
          <w:b w:val="0"/>
          <w:color w:val="auto"/>
          <w:spacing w:val="-4"/>
          <w:sz w:val="28"/>
          <w:szCs w:val="28"/>
        </w:rPr>
      </w:pP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年预算安排专项资金</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w:t>
      </w:r>
      <w:r>
        <w:rPr>
          <w:rFonts w:hint="eastAsia"/>
          <w:color w:val="auto"/>
        </w:rPr>
        <w:t xml:space="preserve"> </w:t>
      </w:r>
      <w:r>
        <w:rPr>
          <w:rStyle w:val="16"/>
          <w:rFonts w:hint="eastAsia" w:ascii="仿宋_GB2312" w:hAnsi="楷体" w:eastAsia="仿宋_GB2312"/>
          <w:b w:val="0"/>
          <w:color w:val="auto"/>
          <w:spacing w:val="-4"/>
          <w:sz w:val="28"/>
          <w:szCs w:val="28"/>
        </w:rPr>
        <w:t>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％,其中:中央转移支付项目资金</w:t>
      </w:r>
      <w:r>
        <w:rPr>
          <w:rStyle w:val="16"/>
          <w:rFonts w:hint="eastAsia" w:ascii="仿宋_GB2312" w:hAnsi="楷体" w:eastAsia="仿宋_GB2312"/>
          <w:b w:val="0"/>
          <w:color w:val="auto"/>
          <w:spacing w:val="-4"/>
          <w:sz w:val="28"/>
          <w:szCs w:val="28"/>
          <w:lang w:val="en-US" w:eastAsia="zh-CN"/>
        </w:rPr>
        <w:t>287.27</w:t>
      </w:r>
      <w:r>
        <w:rPr>
          <w:rStyle w:val="16"/>
          <w:rFonts w:hint="eastAsia" w:ascii="仿宋_GB2312" w:hAnsi="楷体" w:eastAsia="仿宋_GB2312"/>
          <w:b w:val="0"/>
          <w:color w:val="auto"/>
          <w:spacing w:val="-4"/>
          <w:sz w:val="28"/>
          <w:szCs w:val="28"/>
        </w:rPr>
        <w:t>万元，自治区资金</w:t>
      </w:r>
      <w:r>
        <w:rPr>
          <w:rStyle w:val="16"/>
          <w:rFonts w:hint="eastAsia" w:ascii="仿宋_GB2312" w:hAnsi="楷体" w:eastAsia="仿宋_GB2312"/>
          <w:b w:val="0"/>
          <w:color w:val="auto"/>
          <w:spacing w:val="-4"/>
          <w:sz w:val="28"/>
          <w:szCs w:val="28"/>
          <w:lang w:val="en-US" w:eastAsia="zh-CN"/>
        </w:rPr>
        <w:t>169</w:t>
      </w:r>
      <w:r>
        <w:rPr>
          <w:rStyle w:val="16"/>
          <w:rFonts w:hint="eastAsia" w:ascii="仿宋_GB2312" w:hAnsi="楷体" w:eastAsia="仿宋_GB2312"/>
          <w:b w:val="0"/>
          <w:color w:val="auto"/>
          <w:spacing w:val="-4"/>
          <w:sz w:val="28"/>
          <w:szCs w:val="28"/>
        </w:rPr>
        <w:t>万元，本级安排</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p>
    <w:p>
      <w:pPr>
        <w:pStyle w:val="5"/>
        <w:spacing w:line="360" w:lineRule="auto"/>
        <w:ind w:firstLine="562" w:firstLineChars="200"/>
        <w:rPr>
          <w:rStyle w:val="16"/>
          <w:rFonts w:ascii="仿宋" w:hAnsi="仿宋" w:eastAsia="仿宋"/>
          <w:b/>
          <w:bCs/>
          <w:color w:val="auto"/>
        </w:rPr>
      </w:pPr>
      <w:bookmarkStart w:id="17" w:name="_Toc70450304"/>
      <w:r>
        <w:rPr>
          <w:rStyle w:val="16"/>
          <w:rFonts w:hint="eastAsia" w:ascii="仿宋" w:hAnsi="仿宋" w:eastAsia="仿宋"/>
          <w:b/>
          <w:bCs/>
          <w:color w:val="auto"/>
        </w:rPr>
        <w:t>2、专项资金实际使用情况</w:t>
      </w:r>
      <w:bookmarkEnd w:id="17"/>
    </w:p>
    <w:p>
      <w:pPr>
        <w:spacing w:line="360" w:lineRule="auto"/>
        <w:ind w:firstLine="492" w:firstLineChars="181"/>
        <w:rPr>
          <w:rStyle w:val="16"/>
          <w:rFonts w:hint="default"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rPr>
        <w:t>2021年专项资金支出</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59.32</w:t>
      </w:r>
      <w:r>
        <w:rPr>
          <w:rStyle w:val="16"/>
          <w:rFonts w:hint="eastAsia" w:ascii="仿宋_GB2312" w:hAnsi="楷体" w:eastAsia="仿宋_GB2312"/>
          <w:b w:val="0"/>
          <w:color w:val="auto"/>
          <w:spacing w:val="-4"/>
          <w:sz w:val="28"/>
          <w:szCs w:val="28"/>
        </w:rPr>
        <w:t>%，其中2021年专项项目支出比上年</w:t>
      </w:r>
      <w:r>
        <w:rPr>
          <w:rStyle w:val="16"/>
          <w:rFonts w:hint="eastAsia" w:ascii="仿宋_GB2312" w:hAnsi="楷体" w:eastAsia="仿宋_GB2312"/>
          <w:b w:val="0"/>
          <w:color w:val="auto"/>
          <w:spacing w:val="-4"/>
          <w:sz w:val="28"/>
          <w:szCs w:val="28"/>
          <w:lang w:val="en-US" w:eastAsia="zh-CN"/>
        </w:rPr>
        <w:t>568.36</w:t>
      </w:r>
      <w:r>
        <w:rPr>
          <w:rStyle w:val="16"/>
          <w:rFonts w:hint="eastAsia" w:ascii="仿宋_GB2312" w:hAnsi="楷体" w:eastAsia="仿宋_GB2312"/>
          <w:b w:val="0"/>
          <w:color w:val="auto"/>
          <w:spacing w:val="-4"/>
          <w:sz w:val="28"/>
          <w:szCs w:val="28"/>
        </w:rPr>
        <w:t>万元减少</w:t>
      </w:r>
      <w:r>
        <w:rPr>
          <w:rStyle w:val="16"/>
          <w:rFonts w:hint="eastAsia" w:ascii="仿宋_GB2312" w:hAnsi="楷体" w:eastAsia="仿宋_GB2312"/>
          <w:b w:val="0"/>
          <w:color w:val="auto"/>
          <w:spacing w:val="-4"/>
          <w:sz w:val="28"/>
          <w:szCs w:val="28"/>
          <w:lang w:val="en-US" w:eastAsia="zh-CN"/>
        </w:rPr>
        <w:t>112.09</w:t>
      </w:r>
      <w:r>
        <w:rPr>
          <w:rStyle w:val="16"/>
          <w:rFonts w:hint="eastAsia" w:ascii="仿宋_GB2312" w:hAnsi="楷体" w:eastAsia="仿宋_GB2312"/>
          <w:b w:val="0"/>
          <w:color w:val="auto"/>
          <w:spacing w:val="-4"/>
          <w:sz w:val="28"/>
          <w:szCs w:val="28"/>
        </w:rPr>
        <w:t>万元，下降</w:t>
      </w:r>
      <w:r>
        <w:rPr>
          <w:rStyle w:val="16"/>
          <w:rFonts w:hint="eastAsia" w:ascii="仿宋_GB2312" w:hAnsi="楷体" w:eastAsia="仿宋_GB2312"/>
          <w:b w:val="0"/>
          <w:color w:val="auto"/>
          <w:spacing w:val="-4"/>
          <w:sz w:val="28"/>
          <w:szCs w:val="28"/>
          <w:lang w:val="en-US" w:eastAsia="zh-CN"/>
        </w:rPr>
        <w:t>19.72</w:t>
      </w:r>
      <w:r>
        <w:rPr>
          <w:rStyle w:val="16"/>
          <w:rFonts w:hint="eastAsia" w:ascii="仿宋_GB2312" w:hAnsi="楷体" w:eastAsia="仿宋_GB2312"/>
          <w:b w:val="0"/>
          <w:color w:val="auto"/>
          <w:spacing w:val="-4"/>
          <w:sz w:val="28"/>
          <w:szCs w:val="28"/>
        </w:rPr>
        <w:t>%。支出减少的主要原因是</w:t>
      </w:r>
      <w:r>
        <w:rPr>
          <w:rStyle w:val="16"/>
          <w:rFonts w:hint="eastAsia" w:ascii="仿宋_GB2312" w:hAnsi="楷体" w:eastAsia="仿宋_GB2312"/>
          <w:b w:val="0"/>
          <w:color w:val="auto"/>
          <w:spacing w:val="-4"/>
          <w:sz w:val="28"/>
          <w:szCs w:val="28"/>
          <w:lang w:eastAsia="zh-CN"/>
        </w:rPr>
        <w:t>伤残护理费、义务兵家庭优待金、退役士兵安置和其他退役士兵安置支出放到基本支出</w:t>
      </w:r>
      <w:r>
        <w:rPr>
          <w:rStyle w:val="16"/>
          <w:rFonts w:hint="eastAsia" w:ascii="仿宋_GB2312" w:hAnsi="楷体" w:eastAsia="仿宋_GB2312"/>
          <w:b w:val="0"/>
          <w:color w:val="auto"/>
          <w:spacing w:val="-4"/>
          <w:sz w:val="28"/>
          <w:szCs w:val="28"/>
        </w:rPr>
        <w:t>。其中：</w:t>
      </w:r>
      <w:r>
        <w:rPr>
          <w:rStyle w:val="16"/>
          <w:rFonts w:hint="eastAsia" w:ascii="仿宋_GB2312" w:hAnsi="楷体" w:eastAsia="仿宋_GB2312"/>
          <w:b w:val="0"/>
          <w:color w:val="auto"/>
          <w:spacing w:val="-4"/>
          <w:sz w:val="28"/>
          <w:szCs w:val="28"/>
          <w:lang w:val="en-US" w:eastAsia="zh-CN"/>
        </w:rPr>
        <w:t>2021年优抚对象补助经费</w:t>
      </w:r>
      <w:r>
        <w:rPr>
          <w:rStyle w:val="16"/>
          <w:rFonts w:hint="eastAsia" w:ascii="仿宋_GB2312" w:hAnsi="楷体" w:eastAsia="仿宋_GB2312"/>
          <w:b w:val="0"/>
          <w:color w:val="auto"/>
          <w:spacing w:val="-4"/>
          <w:sz w:val="28"/>
          <w:szCs w:val="28"/>
        </w:rPr>
        <w:t>项目安排</w:t>
      </w:r>
      <w:r>
        <w:rPr>
          <w:rStyle w:val="16"/>
          <w:rFonts w:hint="eastAsia" w:ascii="仿宋_GB2312" w:hAnsi="楷体" w:eastAsia="仿宋_GB2312"/>
          <w:b w:val="0"/>
          <w:color w:val="auto"/>
          <w:spacing w:val="-4"/>
          <w:sz w:val="28"/>
          <w:szCs w:val="28"/>
          <w:lang w:val="en-US" w:eastAsia="zh-CN"/>
        </w:rPr>
        <w:t>376.01</w:t>
      </w:r>
      <w:r>
        <w:rPr>
          <w:rStyle w:val="16"/>
          <w:rFonts w:hint="eastAsia" w:ascii="仿宋_GB2312" w:hAnsi="楷体" w:eastAsia="仿宋_GB2312"/>
          <w:b w:val="0"/>
          <w:color w:val="auto"/>
          <w:spacing w:val="-4"/>
          <w:sz w:val="28"/>
          <w:szCs w:val="28"/>
        </w:rPr>
        <w:t>万元，主要用于完成</w:t>
      </w:r>
      <w:r>
        <w:rPr>
          <w:rStyle w:val="16"/>
          <w:rFonts w:hint="eastAsia" w:ascii="仿宋_GB2312" w:hAnsi="楷体" w:eastAsia="仿宋_GB2312"/>
          <w:b w:val="0"/>
          <w:color w:val="auto"/>
          <w:spacing w:val="-4"/>
          <w:sz w:val="28"/>
          <w:szCs w:val="28"/>
          <w:lang w:eastAsia="zh-CN"/>
        </w:rPr>
        <w:t>优抚对象伤残抚恤金和生活补助及困难生活补助金的发放</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eastAsia="zh-CN"/>
        </w:rPr>
        <w:t>退役安置补助</w:t>
      </w:r>
      <w:r>
        <w:rPr>
          <w:rStyle w:val="16"/>
          <w:rFonts w:hint="eastAsia" w:ascii="仿宋_GB2312" w:hAnsi="楷体" w:eastAsia="仿宋_GB2312"/>
          <w:b w:val="0"/>
          <w:color w:val="auto"/>
          <w:spacing w:val="-4"/>
          <w:sz w:val="28"/>
          <w:szCs w:val="28"/>
        </w:rPr>
        <w:t>项目安排</w:t>
      </w:r>
      <w:r>
        <w:rPr>
          <w:rStyle w:val="16"/>
          <w:rFonts w:hint="eastAsia" w:ascii="仿宋_GB2312" w:hAnsi="楷体" w:eastAsia="仿宋_GB2312"/>
          <w:b w:val="0"/>
          <w:color w:val="auto"/>
          <w:spacing w:val="-4"/>
          <w:sz w:val="28"/>
          <w:szCs w:val="28"/>
          <w:lang w:val="en-US" w:eastAsia="zh-CN"/>
        </w:rPr>
        <w:t>17</w:t>
      </w:r>
      <w:r>
        <w:rPr>
          <w:rStyle w:val="16"/>
          <w:rFonts w:hint="eastAsia" w:ascii="仿宋_GB2312" w:hAnsi="楷体" w:eastAsia="仿宋_GB2312"/>
          <w:b w:val="0"/>
          <w:color w:val="auto"/>
          <w:spacing w:val="-4"/>
          <w:sz w:val="28"/>
          <w:szCs w:val="28"/>
        </w:rPr>
        <w:t>万元，主要用于完成</w:t>
      </w:r>
      <w:r>
        <w:rPr>
          <w:rStyle w:val="16"/>
          <w:rFonts w:hint="eastAsia" w:ascii="仿宋_GB2312" w:hAnsi="楷体" w:eastAsia="仿宋_GB2312"/>
          <w:b w:val="0"/>
          <w:color w:val="auto"/>
          <w:spacing w:val="-4"/>
          <w:sz w:val="28"/>
          <w:szCs w:val="28"/>
          <w:lang w:eastAsia="zh-CN"/>
        </w:rPr>
        <w:t>军休干部的工资、走访慰问、缴纳基本医疗保险费、公务员医疗补助和大病保险费、报刊费、降温费、取暖费等发放</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lang w:eastAsia="zh-CN"/>
        </w:rPr>
        <w:t>军队转业干部补助项目安排</w:t>
      </w:r>
      <w:r>
        <w:rPr>
          <w:rStyle w:val="16"/>
          <w:rFonts w:hint="eastAsia" w:ascii="仿宋_GB2312" w:hAnsi="楷体" w:eastAsia="仿宋_GB2312"/>
          <w:b w:val="0"/>
          <w:color w:val="auto"/>
          <w:spacing w:val="-4"/>
          <w:sz w:val="28"/>
          <w:szCs w:val="28"/>
          <w:lang w:val="en-US" w:eastAsia="zh-CN"/>
        </w:rPr>
        <w:t>37.62万元，主要用于完成军队转业干部的基本医疗保险缴费、公务员医疗补助和大病保险、走访慰问、日常管理、冬碳费的发放等。退役安置补助项目（部分退役士兵社保接续）项目安排18.23万元，主要用于完成部分退役士兵社保接续工资。</w:t>
      </w:r>
    </w:p>
    <w:p>
      <w:pPr>
        <w:pStyle w:val="5"/>
        <w:spacing w:line="360" w:lineRule="auto"/>
        <w:ind w:firstLine="562" w:firstLineChars="200"/>
        <w:rPr>
          <w:rStyle w:val="16"/>
          <w:rFonts w:ascii="仿宋" w:hAnsi="仿宋" w:eastAsia="仿宋"/>
          <w:b/>
          <w:bCs/>
          <w:color w:val="auto"/>
        </w:rPr>
      </w:pPr>
      <w:bookmarkStart w:id="18" w:name="_Toc70450305"/>
      <w:r>
        <w:rPr>
          <w:rStyle w:val="16"/>
          <w:rFonts w:hint="eastAsia" w:ascii="仿宋" w:hAnsi="仿宋" w:eastAsia="仿宋"/>
          <w:b/>
          <w:bCs/>
          <w:color w:val="auto"/>
        </w:rPr>
        <w:t>3、专项资金管理情况</w:t>
      </w:r>
      <w:bookmarkEnd w:id="18"/>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w:t>
      </w:r>
      <w:r>
        <w:rPr>
          <w:rStyle w:val="16"/>
          <w:rFonts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rPr>
        <w:t>）建立</w:t>
      </w:r>
      <w:r>
        <w:rPr>
          <w:rStyle w:val="16"/>
          <w:rFonts w:hint="eastAsia" w:ascii="仿宋_GB2312" w:hAnsi="楷体" w:eastAsia="仿宋_GB2312"/>
          <w:b w:val="0"/>
          <w:color w:val="auto"/>
          <w:spacing w:val="-4"/>
          <w:sz w:val="28"/>
          <w:szCs w:val="28"/>
          <w:lang w:eastAsia="zh-CN"/>
        </w:rPr>
        <w:t>上级资金</w:t>
      </w:r>
      <w:r>
        <w:rPr>
          <w:rStyle w:val="16"/>
          <w:rFonts w:hint="eastAsia" w:ascii="仿宋_GB2312" w:hAnsi="楷体" w:eastAsia="仿宋_GB2312"/>
          <w:b w:val="0"/>
          <w:color w:val="auto"/>
          <w:spacing w:val="-4"/>
          <w:sz w:val="28"/>
          <w:szCs w:val="28"/>
        </w:rPr>
        <w:t>专项资金专帐，做到有据可依，有据可查。</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（3）制订了</w:t>
      </w:r>
      <w:r>
        <w:rPr>
          <w:rStyle w:val="16"/>
          <w:rFonts w:hint="eastAsia" w:ascii="仿宋_GB2312" w:hAnsi="楷体" w:eastAsia="仿宋_GB2312"/>
          <w:b w:val="0"/>
          <w:color w:val="auto"/>
          <w:spacing w:val="-4"/>
          <w:sz w:val="28"/>
          <w:szCs w:val="28"/>
          <w:lang w:eastAsia="zh-CN"/>
        </w:rPr>
        <w:t>上级</w:t>
      </w:r>
      <w:r>
        <w:rPr>
          <w:rStyle w:val="16"/>
          <w:rFonts w:hint="eastAsia" w:ascii="仿宋_GB2312" w:hAnsi="楷体" w:eastAsia="仿宋_GB2312"/>
          <w:b w:val="0"/>
          <w:color w:val="auto"/>
          <w:spacing w:val="-4"/>
          <w:sz w:val="28"/>
          <w:szCs w:val="28"/>
        </w:rPr>
        <w:t>项目实施方案，确保项目</w:t>
      </w:r>
      <w:r>
        <w:rPr>
          <w:rStyle w:val="16"/>
          <w:rFonts w:hint="eastAsia" w:ascii="仿宋_GB2312" w:hAnsi="楷体" w:eastAsia="仿宋_GB2312"/>
          <w:b w:val="0"/>
          <w:color w:val="auto"/>
          <w:spacing w:val="-4"/>
          <w:sz w:val="28"/>
          <w:szCs w:val="28"/>
          <w:lang w:eastAsia="zh-CN"/>
        </w:rPr>
        <w:t>保质保量完成</w:t>
      </w:r>
      <w:r>
        <w:rPr>
          <w:rStyle w:val="16"/>
          <w:rFonts w:hint="eastAsia" w:ascii="仿宋_GB2312" w:hAnsi="楷体" w:eastAsia="仿宋_GB2312"/>
          <w:b w:val="0"/>
          <w:color w:val="auto"/>
          <w:spacing w:val="-4"/>
          <w:sz w:val="28"/>
          <w:szCs w:val="28"/>
        </w:rPr>
        <w:t>。</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（4）认真组织</w:t>
      </w:r>
      <w:r>
        <w:rPr>
          <w:rStyle w:val="16"/>
          <w:rFonts w:hint="eastAsia" w:ascii="仿宋_GB2312" w:hAnsi="楷体" w:eastAsia="仿宋_GB2312"/>
          <w:b w:val="0"/>
          <w:color w:val="auto"/>
          <w:spacing w:val="-4"/>
          <w:sz w:val="28"/>
          <w:szCs w:val="28"/>
          <w:lang w:eastAsia="zh-CN"/>
        </w:rPr>
        <w:t>各类</w:t>
      </w:r>
      <w:r>
        <w:rPr>
          <w:rStyle w:val="16"/>
          <w:rFonts w:hint="eastAsia" w:ascii="仿宋_GB2312" w:hAnsi="楷体" w:eastAsia="仿宋_GB2312"/>
          <w:b w:val="0"/>
          <w:color w:val="auto"/>
          <w:spacing w:val="-4"/>
          <w:sz w:val="28"/>
          <w:szCs w:val="28"/>
        </w:rPr>
        <w:t>项目验收，确保</w:t>
      </w:r>
      <w:r>
        <w:rPr>
          <w:rStyle w:val="16"/>
          <w:rFonts w:hint="eastAsia" w:ascii="仿宋_GB2312" w:hAnsi="楷体" w:eastAsia="仿宋_GB2312"/>
          <w:b w:val="0"/>
          <w:color w:val="auto"/>
          <w:spacing w:val="-4"/>
          <w:sz w:val="28"/>
          <w:szCs w:val="28"/>
          <w:lang w:eastAsia="zh-CN"/>
        </w:rPr>
        <w:t>项目实施完成</w:t>
      </w:r>
      <w:r>
        <w:rPr>
          <w:rStyle w:val="16"/>
          <w:rFonts w:hint="eastAsia" w:ascii="仿宋_GB2312" w:hAnsi="楷体" w:eastAsia="仿宋_GB2312"/>
          <w:b w:val="0"/>
          <w:color w:val="auto"/>
          <w:spacing w:val="-4"/>
          <w:sz w:val="28"/>
          <w:szCs w:val="28"/>
        </w:rPr>
        <w:t>。</w:t>
      </w:r>
    </w:p>
    <w:p>
      <w:pPr>
        <w:spacing w:line="360" w:lineRule="auto"/>
        <w:ind w:firstLine="492" w:firstLineChars="181"/>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专项资金涉及政府采购项目的，组织人员制定采购计划，按照财政局采购部门批复，进行公开招标、邀请招标</w:t>
      </w:r>
      <w:r>
        <w:rPr>
          <w:rStyle w:val="16"/>
          <w:rFonts w:hint="eastAsia" w:ascii="仿宋_GB2312" w:hAnsi="楷体" w:eastAsia="仿宋_GB2312"/>
          <w:b w:val="0"/>
          <w:color w:val="auto"/>
          <w:spacing w:val="-4"/>
          <w:sz w:val="28"/>
          <w:szCs w:val="28"/>
          <w:lang w:eastAsia="zh-CN"/>
        </w:rPr>
        <w:t>或政采云</w:t>
      </w:r>
      <w:r>
        <w:rPr>
          <w:rStyle w:val="16"/>
          <w:rFonts w:hint="eastAsia" w:ascii="仿宋_GB2312" w:hAnsi="楷体" w:eastAsia="仿宋_GB2312"/>
          <w:b w:val="0"/>
          <w:color w:val="auto"/>
          <w:spacing w:val="-4"/>
          <w:sz w:val="28"/>
          <w:szCs w:val="28"/>
        </w:rPr>
        <w:t>等方式进行。</w:t>
      </w:r>
    </w:p>
    <w:p>
      <w:pPr>
        <w:pStyle w:val="3"/>
        <w:spacing w:line="360" w:lineRule="auto"/>
        <w:rPr>
          <w:rFonts w:ascii="仿宋" w:hAnsi="仿宋" w:eastAsia="仿宋"/>
          <w:color w:val="auto"/>
          <w:sz w:val="36"/>
          <w:szCs w:val="36"/>
          <w:lang w:bidi="ar"/>
        </w:rPr>
      </w:pPr>
      <w:bookmarkStart w:id="19" w:name="_Toc70450306"/>
      <w:r>
        <w:rPr>
          <w:rFonts w:hint="eastAsia" w:ascii="仿宋" w:hAnsi="仿宋" w:eastAsia="仿宋"/>
          <w:color w:val="auto"/>
          <w:sz w:val="36"/>
          <w:szCs w:val="36"/>
          <w:lang w:bidi="ar"/>
        </w:rPr>
        <w:t>三、部门单位专项组织实施情况</w:t>
      </w:r>
      <w:bookmarkEnd w:id="19"/>
    </w:p>
    <w:p>
      <w:pPr>
        <w:pStyle w:val="5"/>
        <w:numPr>
          <w:ilvl w:val="0"/>
          <w:numId w:val="2"/>
        </w:numPr>
        <w:spacing w:line="360" w:lineRule="auto"/>
        <w:rPr>
          <w:rStyle w:val="16"/>
          <w:rFonts w:ascii="仿宋" w:hAnsi="仿宋" w:eastAsia="仿宋"/>
          <w:b/>
          <w:bCs/>
          <w:color w:val="auto"/>
        </w:rPr>
      </w:pPr>
      <w:bookmarkStart w:id="20" w:name="_Toc70450308"/>
      <w:r>
        <w:rPr>
          <w:rStyle w:val="16"/>
          <w:rFonts w:hint="eastAsia" w:ascii="仿宋" w:hAnsi="仿宋" w:eastAsia="仿宋"/>
          <w:b/>
          <w:bCs/>
          <w:color w:val="auto"/>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年初我单位专项工作</w:t>
      </w:r>
      <w:r>
        <w:rPr>
          <w:rStyle w:val="16"/>
          <w:rFonts w:hint="eastAsia" w:ascii="仿宋_GB2312" w:hAnsi="楷体" w:eastAsia="仿宋_GB2312"/>
          <w:b w:val="0"/>
          <w:bCs w:val="0"/>
          <w:color w:val="auto"/>
          <w:spacing w:val="-4"/>
          <w:sz w:val="28"/>
          <w:szCs w:val="28"/>
          <w:lang w:eastAsia="zh-CN"/>
        </w:rPr>
        <w:t>预算</w:t>
      </w:r>
      <w:r>
        <w:rPr>
          <w:rStyle w:val="16"/>
          <w:rFonts w:hint="eastAsia" w:ascii="仿宋_GB2312" w:hAnsi="楷体" w:eastAsia="仿宋_GB2312"/>
          <w:b w:val="0"/>
          <w:bCs w:val="0"/>
          <w:color w:val="auto"/>
          <w:spacing w:val="-4"/>
          <w:sz w:val="28"/>
          <w:szCs w:val="28"/>
        </w:rPr>
        <w:t>，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w:t>
      </w:r>
      <w:r>
        <w:rPr>
          <w:rStyle w:val="16"/>
          <w:rFonts w:hint="eastAsia" w:ascii="仿宋_GB2312" w:hAnsi="楷体" w:eastAsia="仿宋_GB2312"/>
          <w:b w:val="0"/>
          <w:bCs w:val="0"/>
          <w:color w:val="auto"/>
          <w:spacing w:val="-4"/>
          <w:sz w:val="28"/>
          <w:szCs w:val="28"/>
          <w:lang w:eastAsia="zh-CN"/>
        </w:rPr>
        <w:t>单位</w:t>
      </w:r>
      <w:r>
        <w:rPr>
          <w:rStyle w:val="16"/>
          <w:rFonts w:hint="eastAsia" w:ascii="仿宋_GB2312" w:hAnsi="楷体" w:eastAsia="仿宋_GB2312"/>
          <w:b w:val="0"/>
          <w:bCs w:val="0"/>
          <w:color w:val="auto"/>
          <w:spacing w:val="-4"/>
          <w:sz w:val="28"/>
          <w:szCs w:val="28"/>
        </w:rPr>
        <w:t>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auto"/>
          <w:spacing w:val="-4"/>
          <w:sz w:val="28"/>
          <w:szCs w:val="28"/>
        </w:rPr>
      </w:pPr>
      <w:r>
        <w:rPr>
          <w:rStyle w:val="16"/>
          <w:rFonts w:hint="eastAsia" w:ascii="仿宋_GB2312" w:hAnsi="楷体" w:eastAsia="仿宋_GB2312"/>
          <w:b w:val="0"/>
          <w:bCs w:val="0"/>
          <w:color w:val="auto"/>
          <w:spacing w:val="-4"/>
          <w:sz w:val="28"/>
          <w:szCs w:val="28"/>
        </w:rPr>
        <w:t>截止12月</w:t>
      </w:r>
      <w:r>
        <w:rPr>
          <w:rStyle w:val="16"/>
          <w:rFonts w:hint="eastAsia" w:ascii="仿宋_GB2312" w:hAnsi="楷体" w:eastAsia="仿宋_GB2312"/>
          <w:b w:val="0"/>
          <w:bCs w:val="0"/>
          <w:color w:val="auto"/>
          <w:spacing w:val="-4"/>
          <w:sz w:val="28"/>
          <w:szCs w:val="28"/>
          <w:lang w:val="en-US" w:eastAsia="zh-CN"/>
        </w:rPr>
        <w:t>31</w:t>
      </w:r>
      <w:r>
        <w:rPr>
          <w:rStyle w:val="16"/>
          <w:rFonts w:hint="eastAsia" w:ascii="仿宋_GB2312" w:hAnsi="楷体" w:eastAsia="仿宋_GB2312"/>
          <w:b w:val="0"/>
          <w:bCs w:val="0"/>
          <w:color w:val="auto"/>
          <w:spacing w:val="-4"/>
          <w:sz w:val="28"/>
          <w:szCs w:val="28"/>
        </w:rPr>
        <w:t>日，该专项均按照时间计划保质、保量完成。</w:t>
      </w:r>
    </w:p>
    <w:p>
      <w:pPr>
        <w:pStyle w:val="5"/>
        <w:numPr>
          <w:ilvl w:val="0"/>
          <w:numId w:val="2"/>
        </w:numPr>
        <w:spacing w:line="360" w:lineRule="auto"/>
        <w:rPr>
          <w:rStyle w:val="16"/>
          <w:rFonts w:ascii="仿宋" w:hAnsi="仿宋" w:eastAsia="仿宋"/>
          <w:b/>
          <w:bCs/>
          <w:color w:val="auto"/>
        </w:rPr>
      </w:pPr>
      <w:bookmarkStart w:id="21" w:name="_Toc70450309"/>
      <w:r>
        <w:rPr>
          <w:rStyle w:val="16"/>
          <w:rFonts w:hint="eastAsia" w:ascii="仿宋" w:hAnsi="仿宋" w:eastAsia="仿宋"/>
          <w:b/>
          <w:bCs/>
          <w:color w:val="auto"/>
        </w:rPr>
        <w:t>专项管理情况分析</w:t>
      </w:r>
      <w:bookmarkEnd w:id="21"/>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1、资金到位及使用情况</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021</w:t>
      </w:r>
      <w:r>
        <w:rPr>
          <w:rStyle w:val="16"/>
          <w:rFonts w:hint="eastAsia" w:ascii="仿宋_GB2312" w:hAnsi="楷体" w:eastAsia="仿宋_GB2312"/>
          <w:b w:val="0"/>
          <w:color w:val="auto"/>
          <w:spacing w:val="-4"/>
          <w:sz w:val="28"/>
          <w:szCs w:val="28"/>
        </w:rPr>
        <w:t>年涉及专项资金</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万元，实际到位</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万元，资金到位率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%。截止到</w:t>
      </w:r>
      <w:r>
        <w:rPr>
          <w:rStyle w:val="16"/>
          <w:rFonts w:ascii="仿宋_GB2312" w:hAnsi="楷体" w:eastAsia="仿宋_GB2312"/>
          <w:b w:val="0"/>
          <w:color w:val="auto"/>
          <w:spacing w:val="-4"/>
          <w:sz w:val="28"/>
          <w:szCs w:val="28"/>
        </w:rPr>
        <w:t>2021</w:t>
      </w:r>
      <w:r>
        <w:rPr>
          <w:rStyle w:val="16"/>
          <w:rFonts w:hint="eastAsia" w:ascii="仿宋_GB2312" w:hAnsi="楷体" w:eastAsia="仿宋_GB2312"/>
          <w:b w:val="0"/>
          <w:color w:val="auto"/>
          <w:spacing w:val="-4"/>
          <w:sz w:val="28"/>
          <w:szCs w:val="28"/>
        </w:rPr>
        <w:t>年1</w:t>
      </w:r>
      <w:r>
        <w:rPr>
          <w:rStyle w:val="16"/>
          <w:rFonts w:ascii="仿宋_GB2312" w:hAnsi="楷体" w:eastAsia="仿宋_GB2312"/>
          <w:b w:val="0"/>
          <w:color w:val="auto"/>
          <w:spacing w:val="-4"/>
          <w:sz w:val="28"/>
          <w:szCs w:val="28"/>
        </w:rPr>
        <w:t>2</w:t>
      </w:r>
      <w:r>
        <w:rPr>
          <w:rStyle w:val="16"/>
          <w:rFonts w:hint="eastAsia" w:ascii="仿宋_GB2312" w:hAnsi="楷体" w:eastAsia="仿宋_GB2312"/>
          <w:b w:val="0"/>
          <w:color w:val="auto"/>
          <w:spacing w:val="-4"/>
          <w:sz w:val="28"/>
          <w:szCs w:val="28"/>
        </w:rPr>
        <w:t>月</w:t>
      </w:r>
      <w:r>
        <w:rPr>
          <w:rStyle w:val="16"/>
          <w:rFonts w:hint="eastAsia" w:ascii="仿宋_GB2312" w:hAnsi="楷体" w:eastAsia="仿宋_GB2312"/>
          <w:b w:val="0"/>
          <w:color w:val="auto"/>
          <w:spacing w:val="-4"/>
          <w:sz w:val="28"/>
          <w:szCs w:val="28"/>
          <w:lang w:val="en-US" w:eastAsia="zh-CN"/>
        </w:rPr>
        <w:t>31</w:t>
      </w:r>
      <w:r>
        <w:rPr>
          <w:rStyle w:val="16"/>
          <w:rFonts w:hint="eastAsia" w:ascii="仿宋_GB2312" w:hAnsi="楷体" w:eastAsia="仿宋_GB2312"/>
          <w:b w:val="0"/>
          <w:color w:val="auto"/>
          <w:spacing w:val="-4"/>
          <w:sz w:val="28"/>
          <w:szCs w:val="28"/>
        </w:rPr>
        <w:t>日执行</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%。其中：20</w:t>
      </w:r>
      <w:r>
        <w:rPr>
          <w:rStyle w:val="16"/>
          <w:rFonts w:ascii="仿宋_GB2312" w:hAnsi="楷体" w:eastAsia="仿宋_GB2312"/>
          <w:b w:val="0"/>
          <w:color w:val="auto"/>
          <w:spacing w:val="-4"/>
          <w:sz w:val="28"/>
          <w:szCs w:val="28"/>
        </w:rPr>
        <w:t>21</w:t>
      </w:r>
      <w:r>
        <w:rPr>
          <w:rStyle w:val="16"/>
          <w:rFonts w:hint="eastAsia" w:ascii="仿宋_GB2312" w:hAnsi="楷体" w:eastAsia="仿宋_GB2312"/>
          <w:b w:val="0"/>
          <w:color w:val="auto"/>
          <w:spacing w:val="-4"/>
          <w:sz w:val="28"/>
          <w:szCs w:val="28"/>
        </w:rPr>
        <w:t>年结转专项资金</w:t>
      </w:r>
      <w:r>
        <w:rPr>
          <w:rStyle w:val="16"/>
          <w:rFonts w:hint="eastAsia" w:ascii="仿宋_GB2312" w:hAnsi="楷体" w:eastAsia="仿宋_GB2312"/>
          <w:b w:val="0"/>
          <w:color w:val="auto"/>
          <w:spacing w:val="-4"/>
          <w:sz w:val="28"/>
          <w:szCs w:val="28"/>
          <w:lang w:val="en-US" w:eastAsia="zh-CN"/>
        </w:rPr>
        <w:t>91.09</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91.08</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年新增专项资金</w:t>
      </w:r>
      <w:r>
        <w:rPr>
          <w:rStyle w:val="16"/>
          <w:rFonts w:hint="eastAsia" w:ascii="仿宋_GB2312" w:hAnsi="楷体" w:eastAsia="仿宋_GB2312"/>
          <w:b w:val="0"/>
          <w:color w:val="auto"/>
          <w:spacing w:val="-4"/>
          <w:sz w:val="28"/>
          <w:szCs w:val="28"/>
          <w:lang w:val="en-US" w:eastAsia="zh-CN"/>
        </w:rPr>
        <w:t>365.19</w:t>
      </w:r>
      <w:r>
        <w:rPr>
          <w:rStyle w:val="16"/>
          <w:rFonts w:hint="eastAsia" w:ascii="仿宋_GB2312" w:hAnsi="楷体" w:eastAsia="仿宋_GB2312"/>
          <w:b w:val="0"/>
          <w:color w:val="auto"/>
          <w:spacing w:val="-4"/>
          <w:sz w:val="28"/>
          <w:szCs w:val="28"/>
        </w:rPr>
        <w:t>万元，实际执行</w:t>
      </w:r>
      <w:r>
        <w:rPr>
          <w:rStyle w:val="16"/>
          <w:rFonts w:hint="eastAsia" w:ascii="仿宋_GB2312" w:hAnsi="楷体" w:eastAsia="仿宋_GB2312"/>
          <w:b w:val="0"/>
          <w:color w:val="auto"/>
          <w:spacing w:val="-4"/>
          <w:sz w:val="28"/>
          <w:szCs w:val="28"/>
          <w:lang w:val="en-US" w:eastAsia="zh-CN"/>
        </w:rPr>
        <w:t>365.19</w:t>
      </w:r>
      <w:r>
        <w:rPr>
          <w:rStyle w:val="16"/>
          <w:rFonts w:hint="eastAsia" w:ascii="仿宋_GB2312" w:hAnsi="楷体" w:eastAsia="仿宋_GB2312"/>
          <w:b w:val="0"/>
          <w:color w:val="auto"/>
          <w:spacing w:val="-4"/>
          <w:sz w:val="28"/>
          <w:szCs w:val="28"/>
        </w:rPr>
        <w:t>万元，执行率为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我单位加强对专项资金的绩效管理，确保专款专用，提高专项资金使用效益。遵守相关法律法规，严肃财经纪律，自觉接受财政、审计、监察监督检查。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特克斯县退役军人事务局</w:t>
      </w:r>
      <w:r>
        <w:rPr>
          <w:rStyle w:val="16"/>
          <w:rFonts w:hint="eastAsia" w:asciiTheme="minorEastAsia" w:hAnsiTheme="minorEastAsia"/>
          <w:bCs w:val="0"/>
          <w:color w:val="auto"/>
          <w:spacing w:val="-4"/>
          <w:sz w:val="28"/>
          <w:szCs w:val="28"/>
        </w:rPr>
        <w:t>，</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特克斯县退役军人事务局</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巴合提奴尔和古力米娜</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绩效情况分析</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w:t>
      </w:r>
      <w:r>
        <w:rPr>
          <w:rStyle w:val="16"/>
          <w:rFonts w:ascii="仿宋_GB2312" w:hAnsi="楷体" w:eastAsia="仿宋_GB2312"/>
          <w:b w:val="0"/>
          <w:bCs w:val="0"/>
          <w:color w:val="auto"/>
          <w:spacing w:val="-4"/>
          <w:sz w:val="28"/>
          <w:szCs w:val="28"/>
        </w:rPr>
        <w:t>、成本控制情况</w:t>
      </w:r>
    </w:p>
    <w:p>
      <w:pPr>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特克斯县退役军人事务局</w:t>
      </w:r>
      <w:r>
        <w:rPr>
          <w:rStyle w:val="16"/>
          <w:rFonts w:hint="eastAsia" w:ascii="仿宋_GB2312" w:hAnsi="楷体" w:eastAsia="仿宋_GB2312"/>
          <w:b w:val="0"/>
          <w:color w:val="auto"/>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个专项项目预算总额为</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万元，在项目实施过程中，业务人员加强项目管理，合理控制项目成本，截止项目结束，</w:t>
      </w:r>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个项目总成本为</w:t>
      </w:r>
      <w:r>
        <w:rPr>
          <w:rStyle w:val="16"/>
          <w:rFonts w:hint="eastAsia" w:ascii="仿宋_GB2312" w:hAnsi="楷体" w:eastAsia="仿宋_GB2312"/>
          <w:b w:val="0"/>
          <w:color w:val="auto"/>
          <w:spacing w:val="-4"/>
          <w:sz w:val="28"/>
          <w:szCs w:val="28"/>
          <w:lang w:val="en-US" w:eastAsia="zh-CN"/>
        </w:rPr>
        <w:t>456.27</w:t>
      </w:r>
      <w:r>
        <w:rPr>
          <w:rStyle w:val="16"/>
          <w:rFonts w:hint="eastAsia" w:ascii="仿宋_GB2312" w:hAnsi="楷体" w:eastAsia="仿宋_GB2312"/>
          <w:b w:val="0"/>
          <w:color w:val="auto"/>
          <w:spacing w:val="-4"/>
          <w:sz w:val="28"/>
          <w:szCs w:val="28"/>
        </w:rPr>
        <w:t>万元，不存在超支情况。</w:t>
      </w:r>
    </w:p>
    <w:p>
      <w:pPr>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w:t>
      </w:r>
      <w:r>
        <w:rPr>
          <w:rStyle w:val="16"/>
          <w:rFonts w:ascii="仿宋_GB2312" w:hAnsi="楷体" w:eastAsia="仿宋_GB2312"/>
          <w:b w:val="0"/>
          <w:bCs w:val="0"/>
          <w:color w:val="auto"/>
          <w:spacing w:val="-4"/>
          <w:sz w:val="28"/>
          <w:szCs w:val="28"/>
        </w:rPr>
        <w:t>、成本节约情况</w:t>
      </w:r>
    </w:p>
    <w:p>
      <w:pPr>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特克斯县退役军人事务局</w:t>
      </w:r>
      <w:r>
        <w:rPr>
          <w:rStyle w:val="16"/>
          <w:rFonts w:hint="eastAsia" w:ascii="仿宋_GB2312" w:hAnsi="楷体" w:eastAsia="仿宋_GB2312"/>
          <w:b w:val="0"/>
          <w:color w:val="auto"/>
          <w:spacing w:val="-4"/>
          <w:sz w:val="28"/>
          <w:szCs w:val="28"/>
        </w:rPr>
        <w:t>，所涉及专项项目使用资金比专项项目总预算</w:t>
      </w:r>
      <w:r>
        <w:rPr>
          <w:rStyle w:val="16"/>
          <w:rFonts w:hint="eastAsia" w:ascii="仿宋_GB2312" w:hAnsi="楷体" w:eastAsia="仿宋_GB2312"/>
          <w:b w:val="0"/>
          <w:color w:val="auto"/>
          <w:spacing w:val="-4"/>
          <w:sz w:val="28"/>
          <w:szCs w:val="28"/>
          <w:lang w:eastAsia="zh-CN"/>
        </w:rPr>
        <w:t>减少</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w:t>
      </w:r>
      <w:bookmarkStart w:id="22" w:name="_Hlk96097132"/>
      <w:r>
        <w:rPr>
          <w:rStyle w:val="16"/>
          <w:rFonts w:hint="eastAsia" w:ascii="仿宋_GB2312" w:hAnsi="楷体" w:eastAsia="仿宋_GB2312"/>
          <w:b w:val="0"/>
          <w:color w:val="auto"/>
          <w:spacing w:val="-4"/>
          <w:sz w:val="28"/>
          <w:szCs w:val="28"/>
        </w:rPr>
        <w:t>项目节约率</w:t>
      </w:r>
      <w:bookmarkEnd w:id="22"/>
      <w:r>
        <w:rPr>
          <w:rStyle w:val="16"/>
          <w:rFonts w:hint="eastAsia" w:ascii="仿宋_GB2312" w:hAnsi="楷体" w:eastAsia="仿宋_GB2312"/>
          <w:b w:val="0"/>
          <w:color w:val="auto"/>
          <w:spacing w:val="-4"/>
          <w:sz w:val="28"/>
          <w:szCs w:val="28"/>
        </w:rPr>
        <w:t>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w:t>
      </w:r>
    </w:p>
    <w:p>
      <w:pPr>
        <w:pStyle w:val="5"/>
        <w:numPr>
          <w:ilvl w:val="0"/>
          <w:numId w:val="2"/>
        </w:numPr>
        <w:spacing w:line="360" w:lineRule="auto"/>
        <w:rPr>
          <w:rStyle w:val="16"/>
          <w:rFonts w:hint="eastAsia" w:ascii="仿宋" w:hAnsi="仿宋" w:eastAsia="仿宋"/>
          <w:b/>
          <w:bCs/>
          <w:color w:val="auto"/>
        </w:rPr>
      </w:pPr>
      <w:r>
        <w:rPr>
          <w:rStyle w:val="16"/>
          <w:rFonts w:hint="eastAsia" w:ascii="仿宋" w:hAnsi="仿宋" w:eastAsia="仿宋"/>
          <w:b/>
          <w:bCs/>
          <w:color w:val="auto"/>
        </w:rPr>
        <w:t>项目效率性分析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1、实施进度</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2021年</w:t>
      </w:r>
      <w:r>
        <w:rPr>
          <w:rStyle w:val="16"/>
          <w:rFonts w:hint="eastAsia" w:ascii="仿宋_GB2312" w:hAnsi="楷体" w:eastAsia="仿宋_GB2312"/>
          <w:b w:val="0"/>
          <w:color w:val="auto"/>
          <w:spacing w:val="-4"/>
          <w:sz w:val="28"/>
          <w:szCs w:val="28"/>
          <w:lang w:eastAsia="zh-CN"/>
        </w:rPr>
        <w:t>特克斯县退役军人事务局</w:t>
      </w:r>
      <w:r>
        <w:rPr>
          <w:rStyle w:val="16"/>
          <w:rFonts w:hint="eastAsia" w:ascii="仿宋_GB2312" w:hAnsi="楷体" w:eastAsia="仿宋_GB2312"/>
          <w:b w:val="0"/>
          <w:color w:val="auto"/>
          <w:spacing w:val="-4"/>
          <w:sz w:val="28"/>
          <w:szCs w:val="28"/>
        </w:rPr>
        <w:t>共涉及专项项目</w:t>
      </w:r>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个，截止到202</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年底，通过专项项目实施过程中的有效监督，我单位按预期完成了</w:t>
      </w:r>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个专项的各项专项任务，项目总体完成率为</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2、完成质量</w:t>
      </w:r>
    </w:p>
    <w:p>
      <w:pPr>
        <w:spacing w:line="360" w:lineRule="auto"/>
        <w:ind w:firstLine="544" w:firstLineChars="200"/>
        <w:rPr>
          <w:rStyle w:val="16"/>
          <w:rFonts w:hint="eastAsia" w:ascii="仿宋_GB2312" w:hAnsi="楷体" w:eastAsia="仿宋_GB2312"/>
          <w:b w:val="0"/>
          <w:color w:val="auto"/>
          <w:spacing w:val="-4"/>
          <w:sz w:val="28"/>
          <w:szCs w:val="28"/>
        </w:rPr>
      </w:pPr>
      <w:bookmarkStart w:id="23" w:name="_Hlk96100380"/>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①2021年优抚对象补助经费已完成</w:t>
      </w:r>
      <w:r>
        <w:rPr>
          <w:rStyle w:val="16"/>
          <w:rFonts w:hint="eastAsia" w:ascii="仿宋_GB2312" w:hAnsi="楷体" w:eastAsia="仿宋_GB2312"/>
          <w:b w:val="0"/>
          <w:color w:val="auto"/>
          <w:spacing w:val="-4"/>
          <w:sz w:val="28"/>
          <w:szCs w:val="28"/>
          <w:lang w:val="en-US" w:eastAsia="zh-CN"/>
        </w:rPr>
        <w:t>169名</w:t>
      </w:r>
      <w:r>
        <w:rPr>
          <w:rStyle w:val="16"/>
          <w:rFonts w:hint="eastAsia" w:ascii="仿宋_GB2312" w:hAnsi="楷体" w:eastAsia="仿宋_GB2312"/>
          <w:b w:val="0"/>
          <w:color w:val="auto"/>
          <w:spacing w:val="-4"/>
          <w:sz w:val="28"/>
          <w:szCs w:val="28"/>
        </w:rPr>
        <w:t>各类优抚对象的优待、抚恤、生活补助和国家机关工作人员伤亡抚恤工作；负责烈士褒扬工作</w:t>
      </w:r>
      <w:r>
        <w:rPr>
          <w:rStyle w:val="16"/>
          <w:rFonts w:hint="eastAsia" w:ascii="仿宋_GB2312" w:hAnsi="楷体" w:eastAsia="仿宋_GB2312"/>
          <w:b w:val="0"/>
          <w:color w:val="auto"/>
          <w:spacing w:val="-4"/>
          <w:sz w:val="28"/>
          <w:szCs w:val="28"/>
          <w:lang w:eastAsia="zh-CN"/>
        </w:rPr>
        <w:t>；</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②2021年优抚对象医疗保险经费完成今年重点优抚对象医疗保险补助，完成医疗补助临时医疗救助</w:t>
      </w:r>
      <w:r>
        <w:rPr>
          <w:rStyle w:val="16"/>
          <w:rFonts w:hint="eastAsia" w:ascii="仿宋_GB2312" w:hAnsi="楷体" w:eastAsia="仿宋_GB2312"/>
          <w:b w:val="0"/>
          <w:color w:val="auto"/>
          <w:spacing w:val="-4"/>
          <w:sz w:val="28"/>
          <w:szCs w:val="28"/>
          <w:lang w:eastAsia="zh-CN"/>
        </w:rPr>
        <w:t>共计</w:t>
      </w:r>
      <w:r>
        <w:rPr>
          <w:rStyle w:val="16"/>
          <w:rFonts w:hint="eastAsia" w:ascii="仿宋_GB2312" w:hAnsi="楷体" w:eastAsia="仿宋_GB2312"/>
          <w:b w:val="0"/>
          <w:color w:val="auto"/>
          <w:spacing w:val="-4"/>
          <w:sz w:val="28"/>
          <w:szCs w:val="28"/>
        </w:rPr>
        <w:t>3.11万元。；</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③退役安置补助项目（部分退役士兵社保接续）</w:t>
      </w:r>
      <w:r>
        <w:rPr>
          <w:rStyle w:val="16"/>
          <w:rFonts w:hint="eastAsia" w:ascii="仿宋_GB2312" w:hAnsi="楷体" w:eastAsia="仿宋_GB2312"/>
          <w:b w:val="0"/>
          <w:color w:val="auto"/>
          <w:spacing w:val="-4"/>
          <w:sz w:val="28"/>
          <w:szCs w:val="28"/>
          <w:lang w:eastAsia="zh-CN"/>
        </w:rPr>
        <w:t>完成</w:t>
      </w:r>
      <w:r>
        <w:rPr>
          <w:rStyle w:val="16"/>
          <w:rFonts w:hint="eastAsia" w:ascii="仿宋_GB2312" w:hAnsi="楷体" w:eastAsia="仿宋_GB2312"/>
          <w:b w:val="0"/>
          <w:color w:val="auto"/>
          <w:spacing w:val="-4"/>
          <w:sz w:val="28"/>
          <w:szCs w:val="28"/>
        </w:rPr>
        <w:t>全县部分退役士兵社保续接工作，保障退役军人的合法权益，根据实际需要补缴社保的月份进行补缴，不同兵龄的补助标准也不同，2021年已为符合社保接续的退役士兵进行社保接续。</w:t>
      </w:r>
    </w:p>
    <w:p>
      <w:pPr>
        <w:spacing w:line="360" w:lineRule="auto"/>
        <w:ind w:firstLine="544" w:firstLineChars="200"/>
        <w:rPr>
          <w:rStyle w:val="16"/>
          <w:rFonts w:hint="eastAsia" w:ascii="仿宋_GB2312" w:hAnsi="仿宋_GB2312" w:eastAsia="仿宋_GB2312" w:cs="仿宋_GB2312"/>
          <w:b w:val="0"/>
          <w:color w:val="auto"/>
          <w:spacing w:val="-4"/>
          <w:sz w:val="28"/>
          <w:szCs w:val="28"/>
          <w:lang w:val="en-US" w:eastAsia="zh-CN"/>
        </w:rPr>
      </w:pPr>
      <w:r>
        <w:rPr>
          <w:rStyle w:val="16"/>
          <w:rFonts w:hint="eastAsia" w:ascii="仿宋_GB2312" w:hAnsi="仿宋_GB2312" w:eastAsia="仿宋_GB2312" w:cs="仿宋_GB2312"/>
          <w:b w:val="0"/>
          <w:color w:val="auto"/>
          <w:spacing w:val="-4"/>
          <w:sz w:val="28"/>
          <w:szCs w:val="28"/>
          <w:lang w:eastAsia="zh-CN"/>
        </w:rPr>
        <w:t>④军队转业干部补助完成</w:t>
      </w:r>
      <w:r>
        <w:rPr>
          <w:rStyle w:val="16"/>
          <w:rFonts w:hint="eastAsia" w:ascii="仿宋_GB2312" w:hAnsi="仿宋_GB2312" w:eastAsia="仿宋_GB2312" w:cs="仿宋_GB2312"/>
          <w:b w:val="0"/>
          <w:color w:val="auto"/>
          <w:spacing w:val="-4"/>
          <w:sz w:val="28"/>
          <w:szCs w:val="28"/>
          <w:lang w:val="en-US" w:eastAsia="zh-CN"/>
        </w:rPr>
        <w:t>军转干部基本医疗保险、大病保险、公务员医疗补助、独生子女费、取暖费等有效帮助解决军转干部医疗问题和做好军转干部走访慰问、档案管理、个案帮扶、自主择业工作信息化建设、就业招聘、就业创业典型宣传、创业服务以及军转干部日常管理服务工作费用支出。</w:t>
      </w:r>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仿宋_GB2312" w:eastAsia="仿宋_GB2312" w:cs="仿宋_GB2312"/>
          <w:b w:val="0"/>
          <w:color w:val="auto"/>
          <w:spacing w:val="-4"/>
          <w:sz w:val="28"/>
          <w:szCs w:val="28"/>
          <w:lang w:eastAsia="zh-CN"/>
        </w:rPr>
        <w:t>⑤</w:t>
      </w:r>
      <w:r>
        <w:rPr>
          <w:rStyle w:val="16"/>
          <w:rFonts w:hint="eastAsia" w:ascii="仿宋_GB2312" w:hAnsi="楷体" w:eastAsia="仿宋_GB2312"/>
          <w:b w:val="0"/>
          <w:color w:val="auto"/>
          <w:spacing w:val="-4"/>
          <w:sz w:val="28"/>
          <w:szCs w:val="28"/>
        </w:rPr>
        <w:t>退役安置补助项目</w:t>
      </w:r>
      <w:r>
        <w:rPr>
          <w:rStyle w:val="16"/>
          <w:rFonts w:hint="eastAsia" w:ascii="仿宋_GB2312" w:hAnsi="楷体" w:eastAsia="仿宋_GB2312"/>
          <w:b w:val="0"/>
          <w:color w:val="auto"/>
          <w:spacing w:val="-4"/>
          <w:sz w:val="28"/>
          <w:szCs w:val="28"/>
          <w:lang w:eastAsia="zh-CN"/>
        </w:rPr>
        <w:t>完成落实好军休人员政治待遇及生活待遇；每月足额发放军休人员工资和缴纳基本医疗保险费、全年大病保险和公务员医疗补助金；有效保障退役军人合法权益，促进社会安定。</w:t>
      </w:r>
    </w:p>
    <w:p>
      <w:pPr>
        <w:pStyle w:val="5"/>
        <w:numPr>
          <w:ilvl w:val="0"/>
          <w:numId w:val="2"/>
        </w:numPr>
        <w:spacing w:line="360" w:lineRule="auto"/>
        <w:rPr>
          <w:rStyle w:val="16"/>
          <w:rFonts w:ascii="仿宋" w:hAnsi="仿宋" w:eastAsia="仿宋"/>
          <w:b/>
          <w:bCs/>
          <w:color w:val="auto"/>
        </w:rPr>
      </w:pPr>
      <w:r>
        <w:rPr>
          <w:rStyle w:val="16"/>
          <w:rFonts w:hint="eastAsia" w:ascii="仿宋" w:hAnsi="仿宋" w:eastAsia="仿宋"/>
          <w:b/>
          <w:bCs/>
          <w:color w:val="auto"/>
        </w:rPr>
        <w:t>项目效益性分析</w:t>
      </w:r>
    </w:p>
    <w:p>
      <w:pPr>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val="en-US" w:eastAsia="zh-CN"/>
        </w:rPr>
        <w:t>5</w:t>
      </w:r>
      <w:r>
        <w:rPr>
          <w:rStyle w:val="16"/>
          <w:rFonts w:hint="eastAsia" w:ascii="仿宋_GB2312" w:hAnsi="楷体" w:eastAsia="仿宋_GB2312"/>
          <w:b w:val="0"/>
          <w:bCs w:val="0"/>
          <w:color w:val="auto"/>
          <w:spacing w:val="-4"/>
          <w:sz w:val="28"/>
          <w:szCs w:val="28"/>
        </w:rPr>
        <w:t>个专项项目预期目标完成程度、实施对经济和社会的影响如下：</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1、2021年优抚对象补助</w:t>
      </w:r>
      <w:r>
        <w:rPr>
          <w:rStyle w:val="16"/>
          <w:rFonts w:hint="eastAsia" w:ascii="仿宋_GB2312" w:hAnsi="楷体" w:eastAsia="仿宋_GB2312"/>
          <w:b w:val="0"/>
          <w:color w:val="auto"/>
          <w:spacing w:val="-4"/>
          <w:sz w:val="28"/>
          <w:szCs w:val="28"/>
          <w:lang w:eastAsia="zh-CN"/>
        </w:rPr>
        <w:t>项目完成了全县</w:t>
      </w:r>
      <w:r>
        <w:rPr>
          <w:rStyle w:val="16"/>
          <w:rFonts w:hint="eastAsia" w:ascii="仿宋_GB2312" w:hAnsi="楷体" w:eastAsia="仿宋_GB2312"/>
          <w:b w:val="0"/>
          <w:color w:val="auto"/>
          <w:spacing w:val="-4"/>
          <w:sz w:val="28"/>
          <w:szCs w:val="28"/>
          <w:lang w:val="en-US" w:eastAsia="zh-CN"/>
        </w:rPr>
        <w:t>169名优抚对象伤残抚恤和生活补助金的发放，发放困难生活救助金，提升优抚对象生活水平，促进社会和谐稳定，优抚对象生活质量也得到有效提升。</w:t>
      </w:r>
    </w:p>
    <w:p>
      <w:p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2、2021年优抚对象医疗保险经费</w:t>
      </w:r>
      <w:r>
        <w:rPr>
          <w:rStyle w:val="16"/>
          <w:rFonts w:hint="eastAsia" w:ascii="仿宋_GB2312" w:hAnsi="楷体" w:eastAsia="仿宋_GB2312"/>
          <w:b w:val="0"/>
          <w:color w:val="auto"/>
          <w:spacing w:val="-4"/>
          <w:sz w:val="28"/>
          <w:szCs w:val="28"/>
          <w:lang w:eastAsia="zh-CN"/>
        </w:rPr>
        <w:t>项目切实减轻伤残军人、在乡退伍复员军人等重点优抚对象的医药费用负担，确保把党的惠民政策落到实处。项目的实施提升在乡复员、伤残军人等优抚对象医疗保障，也更有利于他们更好的服务于经济社会发展。</w:t>
      </w:r>
    </w:p>
    <w:p>
      <w:pPr>
        <w:numPr>
          <w:ilvl w:val="0"/>
          <w:numId w:val="3"/>
        </w:numPr>
        <w:spacing w:line="360" w:lineRule="auto"/>
        <w:ind w:firstLine="544" w:firstLineChars="200"/>
        <w:rPr>
          <w:rStyle w:val="16"/>
          <w:rFonts w:hint="eastAsia" w:ascii="仿宋_GB2312" w:hAnsi="楷体" w:eastAsia="仿宋_GB2312"/>
          <w:b w:val="0"/>
          <w:color w:val="auto"/>
          <w:spacing w:val="-4"/>
          <w:sz w:val="28"/>
          <w:szCs w:val="28"/>
          <w:lang w:eastAsia="zh-CN"/>
        </w:rPr>
      </w:pPr>
      <w:r>
        <w:rPr>
          <w:rStyle w:val="16"/>
          <w:rFonts w:hint="eastAsia" w:ascii="仿宋_GB2312" w:hAnsi="楷体" w:eastAsia="仿宋_GB2312"/>
          <w:b w:val="0"/>
          <w:color w:val="auto"/>
          <w:spacing w:val="-4"/>
          <w:sz w:val="28"/>
          <w:szCs w:val="28"/>
        </w:rPr>
        <w:t>退役安置补助项目（部分退役士兵社保接续）</w:t>
      </w:r>
      <w:r>
        <w:rPr>
          <w:rStyle w:val="16"/>
          <w:rFonts w:hint="eastAsia" w:ascii="仿宋_GB2312" w:hAnsi="楷体" w:eastAsia="仿宋_GB2312"/>
          <w:b w:val="0"/>
          <w:color w:val="auto"/>
          <w:spacing w:val="-4"/>
          <w:sz w:val="28"/>
          <w:szCs w:val="28"/>
          <w:lang w:eastAsia="zh-CN"/>
        </w:rPr>
        <w:t>项目</w:t>
      </w:r>
      <w:r>
        <w:rPr>
          <w:rStyle w:val="16"/>
          <w:rFonts w:hint="eastAsia" w:ascii="仿宋_GB2312" w:hAnsi="楷体" w:eastAsia="仿宋_GB2312"/>
          <w:b w:val="0"/>
          <w:color w:val="auto"/>
          <w:spacing w:val="-4"/>
          <w:sz w:val="28"/>
          <w:szCs w:val="28"/>
        </w:rPr>
        <w:t>保障退役军人的合法权益，根据实际需要补缴社保的月份进行补缴，不同兵龄的补助标准也不同，2021年已为符合社保接续的退役士兵进行社保接续。保证退役士兵享有的保障待遇与服役贡献相匹配</w:t>
      </w:r>
      <w:r>
        <w:rPr>
          <w:rStyle w:val="16"/>
          <w:rFonts w:hint="eastAsia" w:ascii="仿宋_GB2312" w:hAnsi="楷体" w:eastAsia="仿宋_GB2312"/>
          <w:b w:val="0"/>
          <w:color w:val="auto"/>
          <w:spacing w:val="-4"/>
          <w:sz w:val="28"/>
          <w:szCs w:val="28"/>
          <w:lang w:eastAsia="zh-CN"/>
        </w:rPr>
        <w:t>。</w:t>
      </w:r>
    </w:p>
    <w:p>
      <w:pPr>
        <w:ind w:firstLine="544" w:firstLineChars="200"/>
        <w:rPr>
          <w:rFonts w:hint="eastAsia" w:ascii="仿宋_GB2312" w:hAnsi="仿宋_GB2312" w:eastAsia="仿宋_GB2312" w:cs="仿宋_GB2312"/>
          <w:color w:val="auto"/>
          <w:sz w:val="28"/>
          <w:szCs w:val="28"/>
          <w:lang w:val="en-US" w:eastAsia="zh-CN"/>
        </w:rPr>
      </w:pPr>
      <w:r>
        <w:rPr>
          <w:rStyle w:val="16"/>
          <w:rFonts w:hint="eastAsia" w:ascii="仿宋_GB2312" w:hAnsi="楷体" w:eastAsia="仿宋_GB2312"/>
          <w:b w:val="0"/>
          <w:color w:val="auto"/>
          <w:spacing w:val="-4"/>
          <w:sz w:val="28"/>
          <w:szCs w:val="28"/>
          <w:lang w:val="en-US" w:eastAsia="zh-CN"/>
        </w:rPr>
        <w:t>4、</w:t>
      </w:r>
      <w:r>
        <w:rPr>
          <w:rFonts w:hint="eastAsia" w:ascii="仿宋_GB2312" w:hAnsi="仿宋_GB2312" w:eastAsia="仿宋_GB2312" w:cs="仿宋_GB2312"/>
          <w:color w:val="auto"/>
          <w:sz w:val="28"/>
          <w:szCs w:val="28"/>
          <w:lang w:val="en-US" w:eastAsia="zh-CN"/>
        </w:rPr>
        <w:t>军队转业干部补助项目有效帮助解决军转干部医疗问题和做好军转干部走访慰问、档案管理、个案帮扶、自主择业工作信息化建设、就业招聘、就业创业典型宣传、创业服务，更好的促进社会和谐稳定。</w:t>
      </w:r>
    </w:p>
    <w:p>
      <w:pPr>
        <w:ind w:firstLine="560" w:firstLineChars="200"/>
        <w:rPr>
          <w:rStyle w:val="16"/>
          <w:rFonts w:hint="default" w:ascii="仿宋_GB2312" w:hAnsi="楷体" w:eastAsia="仿宋_GB2312"/>
          <w:b w:val="0"/>
          <w:color w:val="auto"/>
          <w:spacing w:val="-4"/>
          <w:sz w:val="28"/>
          <w:szCs w:val="28"/>
          <w:lang w:val="en-US" w:eastAsia="zh-CN"/>
        </w:rPr>
      </w:pPr>
      <w:r>
        <w:rPr>
          <w:rFonts w:hint="eastAsia" w:ascii="仿宋_GB2312" w:hAnsi="仿宋_GB2312" w:eastAsia="仿宋_GB2312" w:cs="仿宋_GB2312"/>
          <w:color w:val="auto"/>
          <w:sz w:val="28"/>
          <w:szCs w:val="28"/>
          <w:lang w:val="en-US" w:eastAsia="zh-CN"/>
        </w:rPr>
        <w:t>5、</w:t>
      </w:r>
      <w:r>
        <w:rPr>
          <w:rStyle w:val="16"/>
          <w:rFonts w:hint="eastAsia" w:ascii="仿宋_GB2312" w:hAnsi="楷体" w:eastAsia="仿宋_GB2312"/>
          <w:b w:val="0"/>
          <w:color w:val="auto"/>
          <w:spacing w:val="-4"/>
          <w:sz w:val="28"/>
          <w:szCs w:val="28"/>
          <w:lang w:val="en-US" w:eastAsia="zh-CN"/>
        </w:rPr>
        <w:t>退役安置补助项目有效落实好军休人员政治待遇及生活待遇，提升军休干部生活水平，有效保障退役军人合法权益，促进社会安定。</w:t>
      </w:r>
    </w:p>
    <w:p>
      <w:pPr>
        <w:pStyle w:val="3"/>
        <w:spacing w:line="360" w:lineRule="auto"/>
        <w:ind w:firstLine="723" w:firstLineChars="200"/>
        <w:rPr>
          <w:rFonts w:ascii="仿宋" w:hAnsi="仿宋" w:eastAsia="仿宋"/>
          <w:color w:val="auto"/>
          <w:sz w:val="36"/>
          <w:szCs w:val="36"/>
          <w:lang w:bidi="ar"/>
        </w:rPr>
      </w:pPr>
      <w:bookmarkStart w:id="24" w:name="_Toc70450310"/>
      <w:r>
        <w:rPr>
          <w:rFonts w:hint="eastAsia" w:ascii="仿宋" w:hAnsi="仿宋" w:eastAsia="仿宋"/>
          <w:color w:val="auto"/>
          <w:sz w:val="36"/>
          <w:szCs w:val="36"/>
          <w:lang w:bidi="ar"/>
        </w:rPr>
        <w:t>四、资产管理情况</w:t>
      </w:r>
      <w:bookmarkEnd w:id="24"/>
    </w:p>
    <w:p>
      <w:pPr>
        <w:pStyle w:val="4"/>
        <w:spacing w:line="360" w:lineRule="auto"/>
        <w:ind w:firstLine="321" w:firstLineChars="100"/>
        <w:rPr>
          <w:rStyle w:val="16"/>
          <w:rFonts w:ascii="仿宋" w:hAnsi="仿宋" w:eastAsia="仿宋"/>
          <w:b/>
          <w:bCs/>
          <w:color w:val="auto"/>
        </w:rPr>
      </w:pPr>
      <w:bookmarkStart w:id="25" w:name="_Toc70450311"/>
      <w:r>
        <w:rPr>
          <w:rStyle w:val="16"/>
          <w:rFonts w:hint="eastAsia" w:ascii="仿宋" w:hAnsi="仿宋" w:eastAsia="仿宋"/>
          <w:b/>
          <w:bCs/>
          <w:color w:val="auto"/>
        </w:rPr>
        <w:t>（一）资产配置情况</w:t>
      </w:r>
      <w:bookmarkEnd w:id="25"/>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color w:val="auto"/>
          <w:spacing w:val="-4"/>
          <w:sz w:val="28"/>
          <w:szCs w:val="28"/>
        </w:rPr>
        <w:t>资产总额</w:t>
      </w:r>
      <w:r>
        <w:rPr>
          <w:rStyle w:val="16"/>
          <w:rFonts w:hint="eastAsia" w:ascii="仿宋_GB2312" w:hAnsi="宋体" w:eastAsia="仿宋_GB2312"/>
          <w:b w:val="0"/>
          <w:bCs w:val="0"/>
          <w:color w:val="auto"/>
          <w:spacing w:val="-4"/>
          <w:sz w:val="28"/>
          <w:szCs w:val="28"/>
          <w:lang w:val="en-US" w:eastAsia="zh-CN"/>
        </w:rPr>
        <w:t>4.11</w:t>
      </w:r>
      <w:r>
        <w:rPr>
          <w:rStyle w:val="16"/>
          <w:rFonts w:hint="eastAsia" w:ascii="仿宋_GB2312" w:hAnsi="宋体" w:eastAsia="仿宋_GB2312"/>
          <w:b w:val="0"/>
          <w:bCs w:val="0"/>
          <w:color w:val="auto"/>
          <w:spacing w:val="-4"/>
          <w:sz w:val="28"/>
          <w:szCs w:val="28"/>
        </w:rPr>
        <w:t>万元，其中流动资产</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万元，固定资产净值</w:t>
      </w:r>
      <w:r>
        <w:rPr>
          <w:rStyle w:val="16"/>
          <w:rFonts w:hint="eastAsia" w:ascii="仿宋_GB2312" w:hAnsi="宋体" w:eastAsia="仿宋_GB2312"/>
          <w:b w:val="0"/>
          <w:bCs w:val="0"/>
          <w:color w:val="auto"/>
          <w:spacing w:val="-4"/>
          <w:sz w:val="28"/>
          <w:szCs w:val="28"/>
          <w:lang w:val="en-US" w:eastAsia="zh-CN"/>
        </w:rPr>
        <w:t>3.14</w:t>
      </w:r>
      <w:r>
        <w:rPr>
          <w:rStyle w:val="16"/>
          <w:rFonts w:hint="eastAsia" w:ascii="仿宋_GB2312" w:hAnsi="宋体" w:eastAsia="仿宋_GB2312"/>
          <w:b w:val="0"/>
          <w:bCs w:val="0"/>
          <w:color w:val="auto"/>
          <w:spacing w:val="-4"/>
          <w:sz w:val="28"/>
          <w:szCs w:val="28"/>
        </w:rPr>
        <w:t>万元（其中：土地、房屋及构筑物</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%；通用设备</w:t>
      </w:r>
      <w:r>
        <w:rPr>
          <w:rStyle w:val="16"/>
          <w:rFonts w:hint="eastAsia" w:ascii="仿宋_GB2312" w:hAnsi="宋体" w:eastAsia="仿宋_GB2312"/>
          <w:b w:val="0"/>
          <w:bCs w:val="0"/>
          <w:color w:val="auto"/>
          <w:spacing w:val="-4"/>
          <w:sz w:val="28"/>
          <w:szCs w:val="28"/>
          <w:lang w:val="en-US" w:eastAsia="zh-CN"/>
        </w:rPr>
        <w:t>3.14</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%；专用设备</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万元，占固定资产净值的</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%；其他）。</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本年度流动资产</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万元，比上年增加</w:t>
      </w:r>
      <w:r>
        <w:rPr>
          <w:rStyle w:val="16"/>
          <w:rFonts w:hint="eastAsia" w:ascii="仿宋_GB2312" w:hAnsi="宋体" w:eastAsia="仿宋_GB2312"/>
          <w:b w:val="0"/>
          <w:bCs w:val="0"/>
          <w:color w:val="auto"/>
          <w:spacing w:val="-4"/>
          <w:sz w:val="28"/>
          <w:szCs w:val="28"/>
          <w:lang w:val="en-US" w:eastAsia="zh-CN"/>
        </w:rPr>
        <w:t>0</w:t>
      </w:r>
      <w:r>
        <w:rPr>
          <w:rStyle w:val="16"/>
          <w:rFonts w:hint="eastAsia" w:ascii="仿宋_GB2312" w:hAnsi="宋体" w:eastAsia="仿宋_GB2312"/>
          <w:b w:val="0"/>
          <w:bCs w:val="0"/>
          <w:color w:val="auto"/>
          <w:spacing w:val="-4"/>
          <w:sz w:val="28"/>
          <w:szCs w:val="28"/>
        </w:rPr>
        <w:t>万元，原因是：</w:t>
      </w:r>
      <w:r>
        <w:rPr>
          <w:rStyle w:val="16"/>
          <w:rFonts w:hint="eastAsia" w:ascii="仿宋_GB2312" w:hAnsi="宋体" w:eastAsia="仿宋_GB2312"/>
          <w:b w:val="0"/>
          <w:bCs w:val="0"/>
          <w:color w:val="auto"/>
          <w:spacing w:val="-4"/>
          <w:sz w:val="28"/>
          <w:szCs w:val="28"/>
          <w:lang w:eastAsia="zh-CN"/>
        </w:rPr>
        <w:t>无</w:t>
      </w:r>
      <w:r>
        <w:rPr>
          <w:rStyle w:val="16"/>
          <w:rFonts w:hint="eastAsia" w:ascii="仿宋_GB2312" w:hAnsi="宋体" w:eastAsia="仿宋_GB2312"/>
          <w:b w:val="0"/>
          <w:bCs w:val="0"/>
          <w:color w:val="auto"/>
          <w:spacing w:val="-4"/>
          <w:sz w:val="28"/>
          <w:szCs w:val="28"/>
        </w:rPr>
        <w:t>。</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本年度固定资产</w:t>
      </w:r>
      <w:r>
        <w:rPr>
          <w:rStyle w:val="16"/>
          <w:rFonts w:hint="eastAsia" w:ascii="仿宋_GB2312" w:hAnsi="宋体" w:eastAsia="仿宋_GB2312"/>
          <w:b w:val="0"/>
          <w:bCs w:val="0"/>
          <w:color w:val="auto"/>
          <w:spacing w:val="-4"/>
          <w:sz w:val="28"/>
          <w:szCs w:val="28"/>
          <w:lang w:val="en-US" w:eastAsia="zh-CN"/>
        </w:rPr>
        <w:t>4.11</w:t>
      </w:r>
      <w:r>
        <w:rPr>
          <w:rStyle w:val="16"/>
          <w:rFonts w:hint="eastAsia" w:ascii="仿宋_GB2312" w:hAnsi="宋体" w:eastAsia="仿宋_GB2312"/>
          <w:b w:val="0"/>
          <w:bCs w:val="0"/>
          <w:color w:val="auto"/>
          <w:spacing w:val="-4"/>
          <w:sz w:val="28"/>
          <w:szCs w:val="28"/>
        </w:rPr>
        <w:t>万元，比上年增加</w:t>
      </w:r>
      <w:r>
        <w:rPr>
          <w:rStyle w:val="16"/>
          <w:rFonts w:hint="eastAsia" w:ascii="仿宋_GB2312" w:hAnsi="宋体" w:eastAsia="仿宋_GB2312"/>
          <w:b w:val="0"/>
          <w:bCs w:val="0"/>
          <w:color w:val="auto"/>
          <w:spacing w:val="-4"/>
          <w:sz w:val="28"/>
          <w:szCs w:val="28"/>
          <w:lang w:val="en-US" w:eastAsia="zh-CN"/>
        </w:rPr>
        <w:t>1.67</w:t>
      </w:r>
      <w:r>
        <w:rPr>
          <w:rStyle w:val="16"/>
          <w:rFonts w:hint="eastAsia" w:ascii="仿宋_GB2312" w:hAnsi="宋体" w:eastAsia="仿宋_GB2312"/>
          <w:b w:val="0"/>
          <w:bCs w:val="0"/>
          <w:color w:val="auto"/>
          <w:spacing w:val="-4"/>
          <w:sz w:val="28"/>
          <w:szCs w:val="28"/>
        </w:rPr>
        <w:t>万元，原因是：</w:t>
      </w:r>
      <w:r>
        <w:rPr>
          <w:rStyle w:val="16"/>
          <w:rFonts w:hint="eastAsia" w:ascii="仿宋_GB2312" w:hAnsi="宋体" w:eastAsia="仿宋_GB2312"/>
          <w:b w:val="0"/>
          <w:bCs w:val="0"/>
          <w:color w:val="auto"/>
          <w:spacing w:val="-4"/>
          <w:sz w:val="28"/>
          <w:szCs w:val="28"/>
          <w:lang w:eastAsia="zh-CN"/>
        </w:rPr>
        <w:t>州退役军人事务局拨付本单位电脑、碎纸机、电视等固定资产</w:t>
      </w:r>
      <w:r>
        <w:rPr>
          <w:rStyle w:val="16"/>
          <w:rFonts w:hint="eastAsia" w:ascii="仿宋_GB2312" w:hAnsi="宋体" w:eastAsia="仿宋_GB2312"/>
          <w:b w:val="0"/>
          <w:bCs w:val="0"/>
          <w:color w:val="auto"/>
          <w:spacing w:val="-4"/>
          <w:sz w:val="28"/>
          <w:szCs w:val="28"/>
          <w:lang w:val="en-US" w:eastAsia="zh-CN"/>
        </w:rPr>
        <w:t>1.67万元</w:t>
      </w:r>
      <w:r>
        <w:rPr>
          <w:rStyle w:val="16"/>
          <w:rFonts w:hint="eastAsia" w:ascii="仿宋_GB2312" w:hAnsi="宋体" w:eastAsia="仿宋_GB2312"/>
          <w:b w:val="0"/>
          <w:bCs w:val="0"/>
          <w:color w:val="auto"/>
          <w:spacing w:val="-4"/>
          <w:sz w:val="28"/>
          <w:szCs w:val="28"/>
        </w:rPr>
        <w:t>。</w:t>
      </w:r>
    </w:p>
    <w:p>
      <w:pPr>
        <w:snapToGrid w:val="0"/>
        <w:spacing w:line="360" w:lineRule="auto"/>
        <w:ind w:firstLine="544" w:firstLineChars="200"/>
        <w:rPr>
          <w:rStyle w:val="16"/>
          <w:rFonts w:ascii="宋体" w:hAnsi="宋体" w:eastAsia="宋体"/>
          <w:bCs w:val="0"/>
          <w:color w:val="auto"/>
          <w:spacing w:val="-4"/>
          <w:sz w:val="28"/>
          <w:szCs w:val="28"/>
        </w:rPr>
      </w:pPr>
      <w:r>
        <w:rPr>
          <w:rStyle w:val="16"/>
          <w:rFonts w:hint="eastAsia" w:ascii="仿宋_GB2312" w:hAnsi="宋体" w:eastAsia="仿宋_GB2312"/>
          <w:b w:val="0"/>
          <w:bCs w:val="0"/>
          <w:color w:val="auto"/>
          <w:spacing w:val="-4"/>
          <w:sz w:val="28"/>
          <w:szCs w:val="28"/>
        </w:rPr>
        <w:t>实际在用固定资产</w:t>
      </w:r>
      <w:r>
        <w:rPr>
          <w:rStyle w:val="16"/>
          <w:rFonts w:hint="eastAsia" w:ascii="仿宋_GB2312" w:hAnsi="宋体" w:eastAsia="仿宋_GB2312"/>
          <w:b w:val="0"/>
          <w:bCs w:val="0"/>
          <w:color w:val="auto"/>
          <w:spacing w:val="-4"/>
          <w:sz w:val="28"/>
          <w:szCs w:val="28"/>
          <w:lang w:val="en-US" w:eastAsia="zh-CN"/>
        </w:rPr>
        <w:t>4.11</w:t>
      </w:r>
      <w:r>
        <w:rPr>
          <w:rStyle w:val="16"/>
          <w:rFonts w:hint="eastAsia" w:ascii="仿宋_GB2312" w:hAnsi="宋体" w:eastAsia="仿宋_GB2312"/>
          <w:b w:val="0"/>
          <w:bCs w:val="0"/>
          <w:color w:val="auto"/>
          <w:spacing w:val="-4"/>
          <w:sz w:val="28"/>
          <w:szCs w:val="28"/>
        </w:rPr>
        <w:t>万元，固定资产利用率</w:t>
      </w:r>
      <w:r>
        <w:rPr>
          <w:rStyle w:val="16"/>
          <w:rFonts w:hint="eastAsia" w:ascii="仿宋_GB2312" w:hAnsi="宋体" w:eastAsia="仿宋_GB2312"/>
          <w:b w:val="0"/>
          <w:bCs w:val="0"/>
          <w:color w:val="auto"/>
          <w:spacing w:val="-4"/>
          <w:sz w:val="28"/>
          <w:szCs w:val="28"/>
          <w:lang w:val="en-US" w:eastAsia="zh-CN"/>
        </w:rPr>
        <w:t>100</w:t>
      </w:r>
      <w:r>
        <w:rPr>
          <w:rStyle w:val="16"/>
          <w:rFonts w:hint="eastAsia" w:ascii="仿宋_GB2312" w:hAnsi="宋体" w:eastAsia="仿宋_GB2312"/>
          <w:b w:val="0"/>
          <w:bCs w:val="0"/>
          <w:color w:val="auto"/>
          <w:spacing w:val="-4"/>
          <w:sz w:val="28"/>
          <w:szCs w:val="28"/>
        </w:rPr>
        <w:t>%。</w:t>
      </w:r>
    </w:p>
    <w:p>
      <w:pPr>
        <w:pStyle w:val="4"/>
        <w:spacing w:line="360" w:lineRule="auto"/>
        <w:rPr>
          <w:rStyle w:val="16"/>
          <w:rFonts w:ascii="仿宋" w:hAnsi="仿宋" w:eastAsia="仿宋"/>
          <w:b/>
          <w:bCs/>
          <w:color w:val="auto"/>
        </w:rPr>
      </w:pPr>
      <w:bookmarkStart w:id="26" w:name="_Toc70450312"/>
      <w:r>
        <w:rPr>
          <w:rStyle w:val="16"/>
          <w:rFonts w:hint="eastAsia" w:ascii="仿宋" w:hAnsi="仿宋" w:eastAsia="仿宋"/>
          <w:b/>
          <w:bCs/>
          <w:color w:val="auto"/>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color w:val="auto"/>
          <w:sz w:val="36"/>
          <w:szCs w:val="36"/>
          <w:lang w:bidi="ar"/>
        </w:rPr>
      </w:pPr>
      <w:bookmarkStart w:id="27" w:name="_Toc70450313"/>
      <w:r>
        <w:rPr>
          <w:rFonts w:hint="eastAsia" w:ascii="仿宋" w:hAnsi="仿宋" w:eastAsia="仿宋"/>
          <w:color w:val="auto"/>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color w:val="auto"/>
        </w:rPr>
      </w:pPr>
      <w:bookmarkStart w:id="28" w:name="_Toc70450314"/>
      <w:r>
        <w:rPr>
          <w:rStyle w:val="16"/>
          <w:rFonts w:hint="eastAsia" w:ascii="仿宋" w:hAnsi="仿宋" w:eastAsia="仿宋"/>
          <w:b/>
          <w:bCs/>
          <w:color w:val="auto"/>
        </w:rPr>
        <w:t>（一）经济效益评价</w:t>
      </w:r>
      <w:bookmarkEnd w:id="28"/>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年度我单位年初预算安排</w:t>
      </w:r>
      <w:r>
        <w:rPr>
          <w:rStyle w:val="16"/>
          <w:rFonts w:hint="eastAsia" w:ascii="仿宋_GB2312" w:hAnsi="宋体" w:eastAsia="仿宋_GB2312"/>
          <w:b w:val="0"/>
          <w:bCs w:val="0"/>
          <w:color w:val="auto"/>
          <w:spacing w:val="-4"/>
          <w:sz w:val="28"/>
          <w:szCs w:val="28"/>
          <w:lang w:val="en-US" w:eastAsia="zh-CN"/>
        </w:rPr>
        <w:t>74.47</w:t>
      </w:r>
      <w:r>
        <w:rPr>
          <w:rStyle w:val="16"/>
          <w:rFonts w:hint="eastAsia" w:ascii="仿宋_GB2312" w:hAnsi="宋体" w:eastAsia="仿宋_GB2312"/>
          <w:b w:val="0"/>
          <w:bCs w:val="0"/>
          <w:color w:val="auto"/>
          <w:spacing w:val="-4"/>
          <w:sz w:val="28"/>
          <w:szCs w:val="28"/>
        </w:rPr>
        <w:t>万元，年中调整</w:t>
      </w:r>
      <w:r>
        <w:rPr>
          <w:rStyle w:val="16"/>
          <w:rFonts w:hint="eastAsia" w:ascii="仿宋_GB2312" w:hAnsi="楷体" w:eastAsia="仿宋_GB2312"/>
          <w:b w:val="0"/>
          <w:color w:val="auto"/>
          <w:spacing w:val="-4"/>
          <w:sz w:val="28"/>
          <w:szCs w:val="28"/>
          <w:lang w:val="en-US" w:eastAsia="zh-CN"/>
        </w:rPr>
        <w:t>694.70</w:t>
      </w:r>
      <w:r>
        <w:rPr>
          <w:rStyle w:val="16"/>
          <w:rFonts w:hint="eastAsia" w:ascii="仿宋_GB2312" w:hAnsi="宋体" w:eastAsia="仿宋_GB2312"/>
          <w:b w:val="0"/>
          <w:bCs w:val="0"/>
          <w:color w:val="auto"/>
          <w:spacing w:val="-4"/>
          <w:sz w:val="28"/>
          <w:szCs w:val="28"/>
        </w:rPr>
        <w:t>万元，截止12月底支出</w:t>
      </w:r>
      <w:r>
        <w:rPr>
          <w:rStyle w:val="16"/>
          <w:rFonts w:hint="eastAsia" w:ascii="仿宋_GB2312" w:hAnsi="宋体" w:eastAsia="仿宋_GB2312"/>
          <w:b w:val="0"/>
          <w:bCs w:val="0"/>
          <w:color w:val="auto"/>
          <w:spacing w:val="-4"/>
          <w:sz w:val="28"/>
          <w:szCs w:val="28"/>
          <w:lang w:val="en-US" w:eastAsia="zh-CN"/>
        </w:rPr>
        <w:t>769.17</w:t>
      </w:r>
      <w:r>
        <w:rPr>
          <w:rStyle w:val="16"/>
          <w:rFonts w:hint="eastAsia" w:ascii="仿宋_GB2312" w:hAnsi="宋体" w:eastAsia="仿宋_GB2312"/>
          <w:b w:val="0"/>
          <w:bCs w:val="0"/>
          <w:color w:val="auto"/>
          <w:spacing w:val="-4"/>
          <w:sz w:val="28"/>
          <w:szCs w:val="28"/>
        </w:rPr>
        <w:t>万元，执行率</w:t>
      </w:r>
      <w:r>
        <w:rPr>
          <w:rStyle w:val="16"/>
          <w:rFonts w:hint="eastAsia" w:ascii="仿宋_GB2312" w:hAnsi="宋体" w:eastAsia="仿宋_GB2312"/>
          <w:b w:val="0"/>
          <w:bCs w:val="0"/>
          <w:color w:val="auto"/>
          <w:spacing w:val="-4"/>
          <w:sz w:val="28"/>
          <w:szCs w:val="28"/>
          <w:lang w:val="en-US" w:eastAsia="zh-CN"/>
        </w:rPr>
        <w:t>100</w:t>
      </w:r>
      <w:r>
        <w:rPr>
          <w:rStyle w:val="16"/>
          <w:rFonts w:hint="eastAsia" w:ascii="仿宋_GB2312" w:hAnsi="宋体" w:eastAsia="仿宋_GB2312"/>
          <w:b w:val="0"/>
          <w:bCs w:val="0"/>
          <w:color w:val="auto"/>
          <w:spacing w:val="-4"/>
          <w:sz w:val="28"/>
          <w:szCs w:val="28"/>
        </w:rPr>
        <w:t>%。</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1</w:t>
      </w:r>
      <w:r>
        <w:rPr>
          <w:rStyle w:val="16"/>
          <w:rFonts w:hint="eastAsia" w:ascii="仿宋_GB2312" w:hAnsi="宋体" w:eastAsia="仿宋_GB2312"/>
          <w:b w:val="0"/>
          <w:bCs w:val="0"/>
          <w:color w:val="auto"/>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2</w:t>
      </w:r>
      <w:r>
        <w:rPr>
          <w:rStyle w:val="16"/>
          <w:rFonts w:hint="eastAsia" w:ascii="仿宋_GB2312" w:hAnsi="宋体" w:eastAsia="仿宋_GB2312"/>
          <w:b w:val="0"/>
          <w:bCs w:val="0"/>
          <w:color w:val="auto"/>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color w:val="auto"/>
        </w:rPr>
      </w:pPr>
      <w:bookmarkStart w:id="29" w:name="_Toc70450315"/>
      <w:r>
        <w:rPr>
          <w:rStyle w:val="16"/>
          <w:rFonts w:hint="eastAsia" w:ascii="仿宋" w:hAnsi="仿宋" w:eastAsia="仿宋"/>
          <w:b/>
          <w:bCs/>
          <w:color w:val="auto"/>
        </w:rPr>
        <w:t>（二）效率性评价</w:t>
      </w:r>
      <w:bookmarkEnd w:id="29"/>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年，在</w:t>
      </w:r>
      <w:r>
        <w:rPr>
          <w:rStyle w:val="16"/>
          <w:rFonts w:hint="eastAsia" w:ascii="仿宋_GB2312" w:hAnsi="宋体" w:eastAsia="仿宋_GB2312"/>
          <w:b w:val="0"/>
          <w:bCs w:val="0"/>
          <w:color w:val="auto"/>
          <w:spacing w:val="-4"/>
          <w:sz w:val="28"/>
          <w:szCs w:val="28"/>
          <w:lang w:eastAsia="zh-CN"/>
        </w:rPr>
        <w:t>特克斯县委、政府</w:t>
      </w:r>
      <w:r>
        <w:rPr>
          <w:rStyle w:val="16"/>
          <w:rFonts w:hint="eastAsia" w:ascii="仿宋_GB2312" w:hAnsi="宋体" w:eastAsia="仿宋_GB2312"/>
          <w:b w:val="0"/>
          <w:bCs w:val="0"/>
          <w:color w:val="auto"/>
          <w:spacing w:val="-4"/>
          <w:sz w:val="28"/>
          <w:szCs w:val="28"/>
        </w:rPr>
        <w:t>的大力支持和</w:t>
      </w:r>
      <w:r>
        <w:rPr>
          <w:rStyle w:val="16"/>
          <w:rFonts w:hint="eastAsia" w:ascii="仿宋_GB2312" w:hAnsi="宋体" w:eastAsia="仿宋_GB2312"/>
          <w:b w:val="0"/>
          <w:bCs w:val="0"/>
          <w:color w:val="auto"/>
          <w:spacing w:val="-4"/>
          <w:sz w:val="28"/>
          <w:szCs w:val="28"/>
          <w:lang w:eastAsia="zh-CN"/>
        </w:rPr>
        <w:t>县财政局</w:t>
      </w:r>
      <w:r>
        <w:rPr>
          <w:rStyle w:val="16"/>
          <w:rFonts w:hint="eastAsia" w:ascii="仿宋_GB2312" w:hAnsi="宋体" w:eastAsia="仿宋_GB2312"/>
          <w:b w:val="0"/>
          <w:bCs w:val="0"/>
          <w:color w:val="auto"/>
          <w:spacing w:val="-4"/>
          <w:sz w:val="28"/>
          <w:szCs w:val="28"/>
        </w:rPr>
        <w:t>的正确领导下，</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color w:val="auto"/>
          <w:spacing w:val="-4"/>
          <w:sz w:val="28"/>
          <w:szCs w:val="28"/>
        </w:rPr>
        <w:t>迎难而上、务实重干，积极推动各项</w:t>
      </w:r>
      <w:r>
        <w:rPr>
          <w:rStyle w:val="16"/>
          <w:rFonts w:hint="eastAsia" w:ascii="仿宋_GB2312" w:hAnsi="宋体" w:eastAsia="仿宋_GB2312"/>
          <w:b w:val="0"/>
          <w:bCs w:val="0"/>
          <w:color w:val="auto"/>
          <w:spacing w:val="-4"/>
          <w:sz w:val="28"/>
          <w:szCs w:val="28"/>
          <w:lang w:eastAsia="zh-CN"/>
        </w:rPr>
        <w:t>退役军人事务</w:t>
      </w:r>
      <w:r>
        <w:rPr>
          <w:rStyle w:val="16"/>
          <w:rFonts w:hint="eastAsia" w:ascii="仿宋_GB2312" w:hAnsi="宋体" w:eastAsia="仿宋_GB2312"/>
          <w:b w:val="0"/>
          <w:bCs w:val="0"/>
          <w:color w:val="auto"/>
          <w:spacing w:val="-4"/>
          <w:sz w:val="28"/>
          <w:szCs w:val="28"/>
        </w:rPr>
        <w:t>工作取得了新的进展，为促进经济持续健康发展与社会和谐稳定提供了有力的</w:t>
      </w:r>
      <w:r>
        <w:rPr>
          <w:rStyle w:val="16"/>
          <w:rFonts w:hint="eastAsia" w:ascii="仿宋_GB2312" w:hAnsi="宋体" w:eastAsia="仿宋_GB2312"/>
          <w:b w:val="0"/>
          <w:bCs w:val="0"/>
          <w:color w:val="auto"/>
          <w:spacing w:val="-4"/>
          <w:sz w:val="28"/>
          <w:szCs w:val="28"/>
          <w:lang w:eastAsia="zh-CN"/>
        </w:rPr>
        <w:t>资金</w:t>
      </w:r>
      <w:r>
        <w:rPr>
          <w:rStyle w:val="16"/>
          <w:rFonts w:hint="eastAsia" w:ascii="仿宋_GB2312" w:hAnsi="宋体" w:eastAsia="仿宋_GB2312"/>
          <w:b w:val="0"/>
          <w:bCs w:val="0"/>
          <w:color w:val="auto"/>
          <w:spacing w:val="-4"/>
          <w:sz w:val="28"/>
          <w:szCs w:val="28"/>
        </w:rPr>
        <w:t>支撑和保障。</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1、圆满完成</w:t>
      </w:r>
      <w:r>
        <w:rPr>
          <w:rStyle w:val="16"/>
          <w:rFonts w:hint="eastAsia" w:ascii="仿宋_GB2312" w:hAnsi="宋体" w:eastAsia="仿宋_GB2312"/>
          <w:b w:val="0"/>
          <w:bCs w:val="0"/>
          <w:color w:val="auto"/>
          <w:spacing w:val="-4"/>
          <w:sz w:val="28"/>
          <w:szCs w:val="28"/>
          <w:lang w:eastAsia="zh-CN"/>
        </w:rPr>
        <w:t>在职人员工资发放、社保缴纳、工作正常运转及各类优抚对象资金的发放、退役士兵人员补助资金的发放</w:t>
      </w:r>
      <w:r>
        <w:rPr>
          <w:rStyle w:val="16"/>
          <w:rFonts w:hint="eastAsia" w:ascii="仿宋_GB2312" w:hAnsi="宋体" w:eastAsia="仿宋_GB2312"/>
          <w:b w:val="0"/>
          <w:bCs w:val="0"/>
          <w:color w:val="auto"/>
          <w:spacing w:val="-4"/>
          <w:sz w:val="28"/>
          <w:szCs w:val="28"/>
        </w:rPr>
        <w:t>工作。</w:t>
      </w:r>
    </w:p>
    <w:p>
      <w:pPr>
        <w:tabs>
          <w:tab w:val="left" w:pos="312"/>
        </w:tabs>
        <w:spacing w:line="360" w:lineRule="auto"/>
        <w:ind w:firstLine="544" w:firstLineChars="200"/>
        <w:rPr>
          <w:rStyle w:val="16"/>
          <w:rFonts w:ascii="仿宋_GB2312" w:hAnsi="宋体" w:eastAsia="仿宋_GB2312"/>
          <w:b w:val="0"/>
          <w:bCs w:val="0"/>
          <w:color w:val="auto"/>
          <w:spacing w:val="-4"/>
          <w:sz w:val="28"/>
          <w:szCs w:val="28"/>
        </w:rPr>
      </w:pPr>
      <w:r>
        <w:rPr>
          <w:rStyle w:val="16"/>
          <w:rFonts w:ascii="仿宋_GB2312" w:hAnsi="宋体" w:eastAsia="仿宋_GB2312"/>
          <w:b w:val="0"/>
          <w:bCs w:val="0"/>
          <w:color w:val="auto"/>
          <w:spacing w:val="-4"/>
          <w:sz w:val="28"/>
          <w:szCs w:val="28"/>
        </w:rPr>
        <w:t>2</w:t>
      </w:r>
      <w:r>
        <w:rPr>
          <w:rStyle w:val="16"/>
          <w:rFonts w:hint="eastAsia" w:ascii="仿宋_GB2312" w:hAnsi="宋体" w:eastAsia="仿宋_GB2312"/>
          <w:b w:val="0"/>
          <w:bCs w:val="0"/>
          <w:color w:val="auto"/>
          <w:spacing w:val="-4"/>
          <w:sz w:val="28"/>
          <w:szCs w:val="28"/>
        </w:rPr>
        <w:t>、</w:t>
      </w:r>
      <w:r>
        <w:rPr>
          <w:rStyle w:val="16"/>
          <w:rFonts w:hint="eastAsia" w:ascii="仿宋_GB2312" w:hAnsi="宋体" w:eastAsia="仿宋_GB2312"/>
          <w:b w:val="0"/>
          <w:bCs w:val="0"/>
          <w:color w:val="auto"/>
          <w:spacing w:val="-4"/>
          <w:sz w:val="28"/>
          <w:szCs w:val="28"/>
          <w:lang w:eastAsia="zh-CN"/>
        </w:rPr>
        <w:t>退役安置补助</w:t>
      </w:r>
      <w:r>
        <w:rPr>
          <w:rStyle w:val="16"/>
          <w:rFonts w:hint="eastAsia" w:ascii="仿宋_GB2312" w:hAnsi="宋体" w:eastAsia="仿宋_GB2312"/>
          <w:b w:val="0"/>
          <w:bCs w:val="0"/>
          <w:color w:val="auto"/>
          <w:spacing w:val="-4"/>
          <w:sz w:val="28"/>
          <w:szCs w:val="28"/>
        </w:rPr>
        <w:t>任务提前完成</w:t>
      </w:r>
    </w:p>
    <w:p>
      <w:pPr>
        <w:tabs>
          <w:tab w:val="left" w:pos="312"/>
        </w:tabs>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lang w:eastAsia="zh-CN"/>
        </w:rPr>
        <w:t>根据州退役军人事务局统一安排，军休干部补助由州退役军人事务局军休所进行统一管理，在</w:t>
      </w:r>
      <w:r>
        <w:rPr>
          <w:rStyle w:val="16"/>
          <w:rFonts w:hint="eastAsia" w:ascii="仿宋_GB2312" w:hAnsi="宋体" w:eastAsia="仿宋_GB2312"/>
          <w:b w:val="0"/>
          <w:bCs w:val="0"/>
          <w:color w:val="auto"/>
          <w:spacing w:val="-4"/>
          <w:sz w:val="28"/>
          <w:szCs w:val="28"/>
          <w:lang w:val="en-US" w:eastAsia="zh-CN"/>
        </w:rPr>
        <w:t>8月收回上级资金</w:t>
      </w:r>
      <w:r>
        <w:rPr>
          <w:rStyle w:val="16"/>
          <w:rFonts w:hint="eastAsia" w:ascii="仿宋_GB2312" w:hAnsi="宋体" w:eastAsia="仿宋_GB2312"/>
          <w:b w:val="0"/>
          <w:bCs w:val="0"/>
          <w:color w:val="auto"/>
          <w:spacing w:val="-4"/>
          <w:sz w:val="28"/>
          <w:szCs w:val="28"/>
        </w:rPr>
        <w:t>。</w:t>
      </w:r>
    </w:p>
    <w:p>
      <w:pPr>
        <w:pStyle w:val="20"/>
        <w:numPr>
          <w:ilvl w:val="0"/>
          <w:numId w:val="0"/>
        </w:numPr>
        <w:tabs>
          <w:tab w:val="left" w:pos="312"/>
        </w:tabs>
        <w:spacing w:line="360" w:lineRule="auto"/>
        <w:ind w:leftChars="200" w:firstLine="272" w:firstLineChars="100"/>
        <w:jc w:val="left"/>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lang w:val="en-US" w:eastAsia="zh-CN"/>
        </w:rPr>
        <w:t>3、</w:t>
      </w:r>
      <w:r>
        <w:rPr>
          <w:rStyle w:val="16"/>
          <w:rFonts w:hint="eastAsia" w:ascii="仿宋_GB2312" w:hAnsi="宋体" w:eastAsia="仿宋_GB2312"/>
          <w:b w:val="0"/>
          <w:bCs w:val="0"/>
          <w:color w:val="auto"/>
          <w:spacing w:val="-4"/>
          <w:sz w:val="28"/>
          <w:szCs w:val="28"/>
          <w:lang w:eastAsia="zh-CN"/>
        </w:rPr>
        <w:t>双拥</w:t>
      </w:r>
      <w:r>
        <w:rPr>
          <w:rStyle w:val="16"/>
          <w:rFonts w:hint="eastAsia" w:ascii="仿宋_GB2312" w:hAnsi="宋体" w:eastAsia="仿宋_GB2312"/>
          <w:b w:val="0"/>
          <w:bCs w:val="0"/>
          <w:color w:val="auto"/>
          <w:spacing w:val="-4"/>
          <w:sz w:val="28"/>
          <w:szCs w:val="28"/>
        </w:rPr>
        <w:t>成效显著</w:t>
      </w:r>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lang w:eastAsia="zh-CN"/>
        </w:rPr>
        <w:t>各类优抚金的发放和退役士兵相关补助的发放，在保障退役军人政策落实的基础上，在全县营造了双拥工作的浓厚氛围，体现了党和国家对退役军人的关心、关爱，为维护特克斯县社会稳定和长治久安凝聚人心、集聚了力量</w:t>
      </w:r>
      <w:r>
        <w:rPr>
          <w:rStyle w:val="16"/>
          <w:rFonts w:hint="eastAsia" w:ascii="仿宋_GB2312" w:hAnsi="宋体" w:eastAsia="仿宋_GB2312"/>
          <w:b w:val="0"/>
          <w:bCs w:val="0"/>
          <w:color w:val="auto"/>
          <w:spacing w:val="-4"/>
          <w:sz w:val="28"/>
          <w:szCs w:val="28"/>
        </w:rPr>
        <w:t>。</w:t>
      </w:r>
    </w:p>
    <w:p>
      <w:pPr>
        <w:pStyle w:val="20"/>
        <w:numPr>
          <w:ilvl w:val="0"/>
          <w:numId w:val="0"/>
        </w:numPr>
        <w:tabs>
          <w:tab w:val="left" w:pos="312"/>
        </w:tabs>
        <w:spacing w:line="360" w:lineRule="auto"/>
        <w:ind w:leftChars="200" w:firstLine="272" w:firstLineChars="1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lang w:val="en-US" w:eastAsia="zh-CN"/>
        </w:rPr>
        <w:t>4、</w:t>
      </w:r>
      <w:r>
        <w:rPr>
          <w:rStyle w:val="16"/>
          <w:rFonts w:hint="eastAsia" w:ascii="仿宋_GB2312" w:hAnsi="宋体" w:eastAsia="仿宋_GB2312"/>
          <w:b w:val="0"/>
          <w:bCs w:val="0"/>
          <w:color w:val="auto"/>
          <w:spacing w:val="-4"/>
          <w:sz w:val="28"/>
          <w:szCs w:val="28"/>
          <w:lang w:eastAsia="zh-CN"/>
        </w:rPr>
        <w:t>各项优抚补助</w:t>
      </w:r>
      <w:r>
        <w:rPr>
          <w:rStyle w:val="16"/>
          <w:rFonts w:hint="eastAsia" w:ascii="仿宋_GB2312" w:hAnsi="宋体" w:eastAsia="仿宋_GB2312"/>
          <w:b w:val="0"/>
          <w:bCs w:val="0"/>
          <w:color w:val="auto"/>
          <w:spacing w:val="-4"/>
          <w:sz w:val="28"/>
          <w:szCs w:val="28"/>
        </w:rPr>
        <w:t>全面达标，群众满意度高</w:t>
      </w:r>
    </w:p>
    <w:p>
      <w:pPr>
        <w:pStyle w:val="4"/>
        <w:spacing w:line="360" w:lineRule="auto"/>
        <w:ind w:firstLine="643" w:firstLineChars="200"/>
        <w:rPr>
          <w:rStyle w:val="16"/>
          <w:rFonts w:ascii="仿宋" w:hAnsi="仿宋" w:eastAsia="仿宋"/>
          <w:b/>
          <w:bCs/>
          <w:color w:val="auto"/>
        </w:rPr>
      </w:pPr>
      <w:bookmarkStart w:id="30" w:name="_Toc70450316"/>
      <w:r>
        <w:rPr>
          <w:rStyle w:val="16"/>
          <w:rFonts w:hint="eastAsia" w:ascii="仿宋" w:hAnsi="仿宋" w:eastAsia="仿宋"/>
          <w:b/>
          <w:bCs/>
          <w:color w:val="auto"/>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eastAsia="zh-CN"/>
        </w:rPr>
        <w:t>全局各项业务工作</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项目绩效监控</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办公环境</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项目绩效目标设定</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退役军人事务工作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业务人员设定项目绩效目标的</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color w:val="auto"/>
          <w:spacing w:val="-4"/>
          <w:sz w:val="28"/>
          <w:szCs w:val="28"/>
        </w:rPr>
      </w:pPr>
      <w:r>
        <w:rPr>
          <w:rStyle w:val="16"/>
          <w:rFonts w:hint="eastAsia" w:ascii="仿宋_GB2312" w:eastAsia="仿宋_GB2312" w:hAnsiTheme="minorEastAsia"/>
          <w:b w:val="0"/>
          <w:color w:val="auto"/>
          <w:spacing w:val="-4"/>
          <w:sz w:val="28"/>
          <w:szCs w:val="28"/>
          <w:lang w:eastAsia="zh-CN"/>
        </w:rPr>
        <w:t>特克斯县退役军人事务局</w:t>
      </w:r>
      <w:r>
        <w:rPr>
          <w:rStyle w:val="16"/>
          <w:rFonts w:hint="eastAsia" w:ascii="仿宋_GB2312" w:eastAsia="仿宋_GB2312" w:hAnsiTheme="minorEastAsia"/>
          <w:b w:val="0"/>
          <w:color w:val="auto"/>
          <w:spacing w:val="-4"/>
          <w:sz w:val="28"/>
          <w:szCs w:val="28"/>
        </w:rPr>
        <w:t xml:space="preserve">部门单位整体绩效目标共设置一级指标    </w:t>
      </w:r>
      <w:r>
        <w:rPr>
          <w:rStyle w:val="16"/>
          <w:rFonts w:hint="eastAsia" w:ascii="仿宋_GB2312" w:eastAsia="仿宋_GB2312" w:hAnsiTheme="minorEastAsia"/>
          <w:b w:val="0"/>
          <w:color w:val="auto"/>
          <w:spacing w:val="-4"/>
          <w:sz w:val="28"/>
          <w:szCs w:val="28"/>
          <w:lang w:val="en-US" w:eastAsia="zh-CN"/>
        </w:rPr>
        <w:t>3</w:t>
      </w:r>
      <w:r>
        <w:rPr>
          <w:rStyle w:val="16"/>
          <w:rFonts w:hint="eastAsia" w:ascii="仿宋_GB2312" w:eastAsia="仿宋_GB2312" w:hAnsiTheme="minorEastAsia"/>
          <w:b w:val="0"/>
          <w:color w:val="auto"/>
          <w:spacing w:val="-4"/>
          <w:sz w:val="28"/>
          <w:szCs w:val="28"/>
        </w:rPr>
        <w:t>个，二级指标</w:t>
      </w:r>
      <w:r>
        <w:rPr>
          <w:rStyle w:val="16"/>
          <w:rFonts w:hint="eastAsia" w:ascii="仿宋_GB2312" w:eastAsia="仿宋_GB2312" w:hAnsiTheme="minorEastAsia"/>
          <w:b w:val="0"/>
          <w:color w:val="auto"/>
          <w:spacing w:val="-4"/>
          <w:sz w:val="28"/>
          <w:szCs w:val="28"/>
          <w:lang w:val="en-US" w:eastAsia="zh-CN"/>
        </w:rPr>
        <w:t>7</w:t>
      </w:r>
      <w:r>
        <w:rPr>
          <w:rStyle w:val="16"/>
          <w:rFonts w:hint="eastAsia" w:ascii="仿宋_GB2312" w:eastAsia="仿宋_GB2312" w:hAnsiTheme="minorEastAsia"/>
          <w:b w:val="0"/>
          <w:color w:val="auto"/>
          <w:spacing w:val="-4"/>
          <w:sz w:val="28"/>
          <w:szCs w:val="28"/>
        </w:rPr>
        <w:t>个，三级指标</w:t>
      </w:r>
      <w:r>
        <w:rPr>
          <w:rStyle w:val="16"/>
          <w:rFonts w:hint="eastAsia" w:ascii="仿宋_GB2312" w:eastAsia="仿宋_GB2312" w:hAnsiTheme="minorEastAsia"/>
          <w:b w:val="0"/>
          <w:color w:val="auto"/>
          <w:spacing w:val="-4"/>
          <w:sz w:val="28"/>
          <w:szCs w:val="28"/>
          <w:lang w:val="en-US" w:eastAsia="zh-CN"/>
        </w:rPr>
        <w:t>12</w:t>
      </w:r>
      <w:r>
        <w:rPr>
          <w:rStyle w:val="16"/>
          <w:rFonts w:hint="eastAsia" w:ascii="仿宋_GB2312" w:eastAsia="仿宋_GB2312" w:hAnsiTheme="minorEastAsia"/>
          <w:b w:val="0"/>
          <w:color w:val="auto"/>
          <w:spacing w:val="-4"/>
          <w:sz w:val="28"/>
          <w:szCs w:val="28"/>
        </w:rPr>
        <w:t>个，详细说明如下</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bookmarkStart w:id="37" w:name="_GoBack"/>
      <w:r>
        <w:rPr>
          <w:rStyle w:val="16"/>
          <w:rFonts w:ascii="仿宋_GB2312" w:hAnsi="宋体" w:eastAsia="仿宋_GB2312"/>
          <w:b w:val="0"/>
          <w:color w:val="auto"/>
          <w:spacing w:val="-4"/>
          <w:sz w:val="28"/>
          <w:szCs w:val="28"/>
          <w:highlight w:val="none"/>
        </w:rPr>
        <w:t>1</w:t>
      </w:r>
      <w:r>
        <w:rPr>
          <w:rStyle w:val="16"/>
          <w:rFonts w:hint="eastAsia" w:ascii="仿宋_GB2312" w:hAnsi="宋体" w:eastAsia="仿宋_GB2312"/>
          <w:b w:val="0"/>
          <w:color w:val="auto"/>
          <w:spacing w:val="-4"/>
          <w:sz w:val="28"/>
          <w:szCs w:val="28"/>
          <w:highlight w:val="none"/>
        </w:rPr>
        <w:t>、数量指标：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指标1：保障在职人员人数，指标值：≥7人，实际完成值：</w:t>
      </w:r>
      <w:r>
        <w:rPr>
          <w:rStyle w:val="16"/>
          <w:rFonts w:hint="eastAsia" w:ascii="仿宋_GB2312" w:hAnsi="宋体" w:eastAsia="仿宋_GB2312"/>
          <w:b w:val="0"/>
          <w:color w:val="auto"/>
          <w:spacing w:val="-4"/>
          <w:sz w:val="28"/>
          <w:szCs w:val="28"/>
          <w:highlight w:val="none"/>
          <w:lang w:val="en-US" w:eastAsia="zh-CN"/>
        </w:rPr>
        <w:t>7人</w:t>
      </w:r>
      <w:r>
        <w:rPr>
          <w:rStyle w:val="16"/>
          <w:rFonts w:hint="eastAsia" w:ascii="仿宋_GB2312" w:hAnsi="宋体" w:eastAsia="仿宋_GB2312"/>
          <w:b w:val="0"/>
          <w:color w:val="auto"/>
          <w:spacing w:val="-4"/>
          <w:sz w:val="28"/>
          <w:szCs w:val="28"/>
          <w:highlight w:val="none"/>
        </w:rPr>
        <w:t xml:space="preserve"> ，指标完成率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：工资、福利发放次数，指标值：≥12次，实际完成值：</w:t>
      </w:r>
      <w:r>
        <w:rPr>
          <w:rStyle w:val="16"/>
          <w:rFonts w:hint="eastAsia" w:ascii="仿宋_GB2312" w:hAnsi="宋体" w:eastAsia="仿宋_GB2312"/>
          <w:b w:val="0"/>
          <w:color w:val="auto"/>
          <w:spacing w:val="-4"/>
          <w:sz w:val="28"/>
          <w:szCs w:val="28"/>
          <w:highlight w:val="none"/>
          <w:lang w:val="en-US" w:eastAsia="zh-CN"/>
        </w:rPr>
        <w:t>12次</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、质量指标：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指标1：办公场所正常运转率，指标值：=100%，实际完成值：</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：工资、津补贴和奖金发放覆盖率，=100%，实际完成值：</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3</w:t>
      </w:r>
      <w:r>
        <w:rPr>
          <w:rStyle w:val="16"/>
          <w:rFonts w:hint="eastAsia" w:ascii="仿宋_GB2312" w:hAnsi="宋体" w:eastAsia="仿宋_GB2312"/>
          <w:b w:val="0"/>
          <w:color w:val="auto"/>
          <w:spacing w:val="-4"/>
          <w:sz w:val="28"/>
          <w:szCs w:val="28"/>
          <w:highlight w:val="none"/>
        </w:rPr>
        <w:t>、时效指标：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指标1：人员经费发放及时率，指标值：=100%，实际完成值：</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：办公经费支出及时性，指标值：=100%，实际完成值：</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4</w:t>
      </w:r>
      <w:r>
        <w:rPr>
          <w:rStyle w:val="16"/>
          <w:rFonts w:hint="eastAsia" w:ascii="仿宋_GB2312" w:hAnsi="宋体" w:eastAsia="仿宋_GB2312"/>
          <w:b w:val="0"/>
          <w:color w:val="auto"/>
          <w:spacing w:val="-4"/>
          <w:sz w:val="28"/>
          <w:szCs w:val="28"/>
          <w:highlight w:val="none"/>
        </w:rPr>
        <w:t>、成本指标：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指标1：人均工资福利支出，指标值：≦10.22万元/人，实际完成值：10.22万元/人，指标完成率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：人均运转经费，指标值：≦0.41万元/人，实际完成值：0.41万元/人，指标完成率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ascii="仿宋_GB2312" w:hAnsi="宋体" w:eastAsia="仿宋_GB2312"/>
          <w:b w:val="0"/>
          <w:color w:val="auto"/>
          <w:spacing w:val="-4"/>
          <w:sz w:val="28"/>
          <w:szCs w:val="28"/>
          <w:highlight w:val="none"/>
        </w:rPr>
        <w:t>5</w:t>
      </w:r>
      <w:r>
        <w:rPr>
          <w:rStyle w:val="16"/>
          <w:rFonts w:hint="eastAsia" w:ascii="仿宋_GB2312" w:hAnsi="宋体" w:eastAsia="仿宋_GB2312"/>
          <w:b w:val="0"/>
          <w:color w:val="auto"/>
          <w:spacing w:val="-4"/>
          <w:sz w:val="28"/>
          <w:szCs w:val="28"/>
          <w:highlight w:val="none"/>
        </w:rPr>
        <w:t>、社会效益指标：</w:t>
      </w:r>
    </w:p>
    <w:p>
      <w:pPr>
        <w:snapToGrid w:val="0"/>
        <w:spacing w:line="360" w:lineRule="auto"/>
        <w:ind w:firstLine="544" w:firstLineChars="200"/>
        <w:rPr>
          <w:rStyle w:val="16"/>
          <w:rFonts w:hint="eastAsia" w:ascii="仿宋_GB2312" w:hAnsi="宋体" w:eastAsia="仿宋_GB2312"/>
          <w:b w:val="0"/>
          <w:color w:val="auto"/>
          <w:spacing w:val="-4"/>
          <w:sz w:val="28"/>
          <w:szCs w:val="28"/>
          <w:highlight w:val="none"/>
          <w:lang w:eastAsia="zh-CN"/>
        </w:rPr>
      </w:pPr>
      <w:r>
        <w:rPr>
          <w:rStyle w:val="16"/>
          <w:rFonts w:hint="eastAsia" w:ascii="仿宋_GB2312" w:hAnsi="宋体" w:eastAsia="仿宋_GB2312"/>
          <w:b w:val="0"/>
          <w:color w:val="auto"/>
          <w:spacing w:val="-4"/>
          <w:sz w:val="28"/>
          <w:szCs w:val="28"/>
          <w:highlight w:val="none"/>
        </w:rPr>
        <w:t>指标1：保障各项业务有序推进，指标值：保障各项业务有序推进，实际完成值：有效保障，指标完成率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r>
        <w:rPr>
          <w:rStyle w:val="16"/>
          <w:rFonts w:hint="eastAsia" w:ascii="仿宋_GB2312" w:hAnsi="宋体" w:eastAsia="仿宋_GB2312"/>
          <w:b w:val="0"/>
          <w:color w:val="auto"/>
          <w:spacing w:val="-4"/>
          <w:sz w:val="28"/>
          <w:szCs w:val="28"/>
          <w:highlight w:val="none"/>
          <w:lang w:eastAsia="zh-CN"/>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w:t>
      </w:r>
      <w:r>
        <w:rPr>
          <w:rStyle w:val="16"/>
          <w:rFonts w:ascii="仿宋_GB2312" w:hAnsi="宋体" w:eastAsia="仿宋_GB2312"/>
          <w:b w:val="0"/>
          <w:color w:val="auto"/>
          <w:spacing w:val="-4"/>
          <w:sz w:val="28"/>
          <w:szCs w:val="28"/>
          <w:highlight w:val="none"/>
        </w:rPr>
        <w:t>2</w:t>
      </w:r>
      <w:r>
        <w:rPr>
          <w:rStyle w:val="16"/>
          <w:rFonts w:hint="eastAsia" w:ascii="仿宋_GB2312" w:hAnsi="宋体" w:eastAsia="仿宋_GB2312"/>
          <w:b w:val="0"/>
          <w:color w:val="auto"/>
          <w:spacing w:val="-4"/>
          <w:sz w:val="28"/>
          <w:szCs w:val="28"/>
          <w:highlight w:val="none"/>
        </w:rPr>
        <w:t>：提高服务质量，指标值：有效提升，实际完成值：有效提升，指标完成率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lang w:val="en-US" w:eastAsia="zh-CN"/>
        </w:rPr>
        <w:t>6</w:t>
      </w:r>
      <w:r>
        <w:rPr>
          <w:rStyle w:val="16"/>
          <w:rFonts w:hint="eastAsia" w:ascii="仿宋_GB2312" w:hAnsi="宋体" w:eastAsia="仿宋_GB2312"/>
          <w:b w:val="0"/>
          <w:color w:val="auto"/>
          <w:spacing w:val="-4"/>
          <w:sz w:val="28"/>
          <w:szCs w:val="28"/>
          <w:highlight w:val="none"/>
        </w:rPr>
        <w:t>、可持续影响指标：</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rPr>
        <w:t>指标1：促进退役军人事务工作的健康发展，指标值：有效促进，实际完成值：有效促进，指标完成率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p>
    <w:p>
      <w:pPr>
        <w:snapToGrid w:val="0"/>
        <w:spacing w:line="360" w:lineRule="auto"/>
        <w:ind w:firstLine="544" w:firstLineChars="200"/>
        <w:rPr>
          <w:rStyle w:val="16"/>
          <w:rFonts w:ascii="仿宋_GB2312" w:hAnsi="宋体" w:eastAsia="仿宋_GB2312"/>
          <w:b w:val="0"/>
          <w:color w:val="auto"/>
          <w:spacing w:val="-4"/>
          <w:sz w:val="28"/>
          <w:szCs w:val="28"/>
          <w:highlight w:val="none"/>
        </w:rPr>
      </w:pPr>
      <w:r>
        <w:rPr>
          <w:rStyle w:val="16"/>
          <w:rFonts w:hint="eastAsia" w:ascii="仿宋_GB2312" w:hAnsi="宋体" w:eastAsia="仿宋_GB2312"/>
          <w:b w:val="0"/>
          <w:color w:val="auto"/>
          <w:spacing w:val="-4"/>
          <w:sz w:val="28"/>
          <w:szCs w:val="28"/>
          <w:highlight w:val="none"/>
          <w:lang w:val="en-US" w:eastAsia="zh-CN"/>
        </w:rPr>
        <w:t>7</w:t>
      </w:r>
      <w:r>
        <w:rPr>
          <w:rStyle w:val="16"/>
          <w:rFonts w:hint="eastAsia" w:ascii="仿宋_GB2312" w:hAnsi="宋体" w:eastAsia="仿宋_GB2312"/>
          <w:b w:val="0"/>
          <w:color w:val="auto"/>
          <w:spacing w:val="-4"/>
          <w:sz w:val="28"/>
          <w:szCs w:val="28"/>
          <w:highlight w:val="none"/>
        </w:rPr>
        <w:t>、满意度指标：</w:t>
      </w:r>
    </w:p>
    <w:p>
      <w:pPr>
        <w:snapToGrid w:val="0"/>
        <w:spacing w:line="360" w:lineRule="auto"/>
        <w:ind w:firstLine="544" w:firstLineChars="200"/>
        <w:rPr>
          <w:rStyle w:val="16"/>
          <w:rFonts w:hint="eastAsia" w:ascii="仿宋_GB2312" w:hAnsi="宋体" w:eastAsia="仿宋_GB2312"/>
          <w:b w:val="0"/>
          <w:bCs w:val="0"/>
          <w:color w:val="auto"/>
          <w:spacing w:val="-4"/>
          <w:sz w:val="28"/>
          <w:szCs w:val="28"/>
          <w:highlight w:val="none"/>
          <w:lang w:eastAsia="zh-CN"/>
        </w:rPr>
      </w:pPr>
      <w:r>
        <w:rPr>
          <w:rStyle w:val="16"/>
          <w:rFonts w:hint="eastAsia" w:ascii="仿宋_GB2312" w:hAnsi="宋体" w:eastAsia="仿宋_GB2312"/>
          <w:b w:val="0"/>
          <w:color w:val="auto"/>
          <w:spacing w:val="-4"/>
          <w:sz w:val="28"/>
          <w:szCs w:val="28"/>
          <w:highlight w:val="none"/>
        </w:rPr>
        <w:t>指标1：单位职工满意度，指标值：≥95%，实际完成值：</w:t>
      </w:r>
      <w:r>
        <w:rPr>
          <w:rStyle w:val="16"/>
          <w:rFonts w:hint="eastAsia" w:ascii="仿宋_GB2312" w:hAnsi="宋体" w:eastAsia="仿宋_GB2312"/>
          <w:b w:val="0"/>
          <w:color w:val="auto"/>
          <w:spacing w:val="-4"/>
          <w:sz w:val="28"/>
          <w:szCs w:val="28"/>
          <w:highlight w:val="none"/>
          <w:lang w:val="en-US" w:eastAsia="zh-CN"/>
        </w:rPr>
        <w:t>95%</w:t>
      </w:r>
      <w:r>
        <w:rPr>
          <w:rStyle w:val="16"/>
          <w:rFonts w:hint="eastAsia" w:ascii="仿宋_GB2312" w:hAnsi="宋体" w:eastAsia="仿宋_GB2312"/>
          <w:b w:val="0"/>
          <w:color w:val="auto"/>
          <w:spacing w:val="-4"/>
          <w:sz w:val="28"/>
          <w:szCs w:val="28"/>
          <w:highlight w:val="none"/>
        </w:rPr>
        <w:t>，指标完成率</w:t>
      </w:r>
      <w:r>
        <w:rPr>
          <w:rStyle w:val="16"/>
          <w:rFonts w:hint="eastAsia" w:ascii="仿宋_GB2312" w:hAnsi="宋体" w:eastAsia="仿宋_GB2312"/>
          <w:b w:val="0"/>
          <w:color w:val="auto"/>
          <w:spacing w:val="-4"/>
          <w:sz w:val="28"/>
          <w:szCs w:val="28"/>
          <w:highlight w:val="none"/>
          <w:lang w:val="en-US" w:eastAsia="zh-CN"/>
        </w:rPr>
        <w:t>100</w:t>
      </w:r>
      <w:r>
        <w:rPr>
          <w:rStyle w:val="16"/>
          <w:rFonts w:hint="eastAsia" w:ascii="仿宋_GB2312" w:hAnsi="宋体" w:eastAsia="仿宋_GB2312"/>
          <w:b w:val="0"/>
          <w:color w:val="auto"/>
          <w:spacing w:val="-4"/>
          <w:sz w:val="28"/>
          <w:szCs w:val="28"/>
          <w:highlight w:val="none"/>
        </w:rPr>
        <w:t>%</w:t>
      </w:r>
      <w:r>
        <w:rPr>
          <w:rStyle w:val="16"/>
          <w:rFonts w:hint="eastAsia" w:ascii="仿宋_GB2312" w:hAnsi="宋体" w:eastAsia="仿宋_GB2312"/>
          <w:b w:val="0"/>
          <w:color w:val="auto"/>
          <w:spacing w:val="-4"/>
          <w:sz w:val="28"/>
          <w:szCs w:val="28"/>
          <w:highlight w:val="none"/>
          <w:lang w:eastAsia="zh-CN"/>
        </w:rPr>
        <w:t>。</w:t>
      </w:r>
    </w:p>
    <w:bookmarkEnd w:id="37"/>
    <w:p>
      <w:pPr>
        <w:pStyle w:val="3"/>
        <w:spacing w:line="360" w:lineRule="auto"/>
        <w:rPr>
          <w:rFonts w:ascii="仿宋" w:hAnsi="仿宋" w:eastAsia="仿宋"/>
          <w:color w:val="auto"/>
          <w:sz w:val="36"/>
          <w:szCs w:val="36"/>
          <w:lang w:bidi="ar"/>
        </w:rPr>
      </w:pPr>
      <w:bookmarkStart w:id="31" w:name="_Toc70450317"/>
      <w:r>
        <w:rPr>
          <w:rFonts w:hint="eastAsia" w:ascii="仿宋" w:hAnsi="仿宋" w:eastAsia="仿宋"/>
          <w:color w:val="auto"/>
          <w:sz w:val="36"/>
          <w:szCs w:val="36"/>
          <w:lang w:bidi="ar"/>
        </w:rPr>
        <w:t>六、存在的主要问题</w:t>
      </w:r>
      <w:bookmarkEnd w:id="31"/>
    </w:p>
    <w:p>
      <w:pPr>
        <w:pStyle w:val="12"/>
        <w:widowControl/>
        <w:spacing w:before="40" w:beforeAutospacing="0" w:after="0" w:afterAutospacing="0" w:line="520" w:lineRule="atLeast"/>
        <w:ind w:firstLine="520"/>
        <w:jc w:val="both"/>
        <w:rPr>
          <w:rFonts w:hint="eastAsia" w:ascii="仿宋_GB2312" w:hAnsi="仿宋_GB2312" w:eastAsia="仿宋_GB2312" w:cs="仿宋_GB2312"/>
          <w:color w:val="auto"/>
          <w:sz w:val="28"/>
          <w:szCs w:val="28"/>
          <w:lang w:bidi="ar"/>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对个别项目资金使用</w:t>
      </w:r>
      <w:r>
        <w:rPr>
          <w:rFonts w:hint="eastAsia" w:ascii="仿宋_GB2312" w:hAnsi="仿宋_GB2312" w:eastAsia="仿宋_GB2312" w:cs="仿宋_GB2312"/>
          <w:color w:val="auto"/>
          <w:sz w:val="28"/>
          <w:szCs w:val="28"/>
          <w:lang w:eastAsia="zh-CN"/>
        </w:rPr>
        <w:t>月份</w:t>
      </w:r>
      <w:r>
        <w:rPr>
          <w:rFonts w:hint="eastAsia" w:ascii="仿宋_GB2312" w:hAnsi="仿宋_GB2312" w:eastAsia="仿宋_GB2312" w:cs="仿宋_GB2312"/>
          <w:color w:val="auto"/>
          <w:sz w:val="28"/>
          <w:szCs w:val="28"/>
        </w:rPr>
        <w:t>方面预算不够细致，出现实际支出</w:t>
      </w:r>
      <w:r>
        <w:rPr>
          <w:rFonts w:hint="eastAsia" w:ascii="仿宋_GB2312" w:hAnsi="仿宋_GB2312" w:eastAsia="仿宋_GB2312" w:cs="仿宋_GB2312"/>
          <w:color w:val="auto"/>
          <w:sz w:val="28"/>
          <w:szCs w:val="28"/>
          <w:lang w:eastAsia="zh-CN"/>
        </w:rPr>
        <w:t>月份</w:t>
      </w:r>
      <w:r>
        <w:rPr>
          <w:rFonts w:hint="eastAsia" w:ascii="仿宋_GB2312" w:hAnsi="仿宋_GB2312" w:eastAsia="仿宋_GB2312" w:cs="仿宋_GB2312"/>
          <w:color w:val="auto"/>
          <w:sz w:val="28"/>
          <w:szCs w:val="28"/>
        </w:rPr>
        <w:t>数</w:t>
      </w:r>
      <w:r>
        <w:rPr>
          <w:rFonts w:hint="eastAsia" w:ascii="仿宋_GB2312" w:hAnsi="仿宋_GB2312" w:eastAsia="仿宋_GB2312" w:cs="仿宋_GB2312"/>
          <w:color w:val="auto"/>
          <w:sz w:val="28"/>
          <w:szCs w:val="28"/>
          <w:lang w:eastAsia="zh-CN"/>
        </w:rPr>
        <w:t>比</w:t>
      </w:r>
      <w:r>
        <w:rPr>
          <w:rFonts w:hint="eastAsia" w:ascii="仿宋_GB2312" w:hAnsi="仿宋_GB2312" w:eastAsia="仿宋_GB2312" w:cs="仿宋_GB2312"/>
          <w:color w:val="auto"/>
          <w:sz w:val="28"/>
          <w:szCs w:val="28"/>
        </w:rPr>
        <w:t>预算</w:t>
      </w:r>
      <w:r>
        <w:rPr>
          <w:rFonts w:hint="eastAsia" w:ascii="仿宋_GB2312" w:hAnsi="仿宋_GB2312" w:eastAsia="仿宋_GB2312" w:cs="仿宋_GB2312"/>
          <w:color w:val="auto"/>
          <w:sz w:val="28"/>
          <w:szCs w:val="28"/>
          <w:lang w:eastAsia="zh-CN"/>
        </w:rPr>
        <w:t>月份</w:t>
      </w:r>
      <w:r>
        <w:rPr>
          <w:rFonts w:hint="eastAsia" w:ascii="仿宋_GB2312" w:hAnsi="仿宋_GB2312" w:eastAsia="仿宋_GB2312" w:cs="仿宋_GB2312"/>
          <w:color w:val="auto"/>
          <w:sz w:val="28"/>
          <w:szCs w:val="28"/>
        </w:rPr>
        <w:t>数</w:t>
      </w:r>
      <w:r>
        <w:rPr>
          <w:rFonts w:hint="eastAsia" w:ascii="仿宋_GB2312" w:hAnsi="仿宋_GB2312" w:eastAsia="仿宋_GB2312" w:cs="仿宋_GB2312"/>
          <w:color w:val="auto"/>
          <w:sz w:val="28"/>
          <w:szCs w:val="28"/>
          <w:lang w:eastAsia="zh-CN"/>
        </w:rPr>
        <w:t>提前，导致存在了偏差</w:t>
      </w:r>
      <w:r>
        <w:rPr>
          <w:rFonts w:hint="eastAsia" w:ascii="仿宋_GB2312" w:hAnsi="仿宋_GB2312" w:eastAsia="仿宋_GB2312" w:cs="仿宋_GB2312"/>
          <w:color w:val="auto"/>
          <w:sz w:val="28"/>
          <w:szCs w:val="28"/>
        </w:rPr>
        <w:t>，缺乏预算编制的科学性。预算调整较多、追加预算比重较大等现象,因此项目预算执行的准确性还有待加强,同时分析手段和技术水平上还有待完善。</w:t>
      </w:r>
    </w:p>
    <w:p>
      <w:pPr>
        <w:pStyle w:val="12"/>
        <w:widowControl/>
        <w:spacing w:before="40" w:beforeAutospacing="0" w:after="0" w:afterAutospacing="0" w:line="520" w:lineRule="atLeast"/>
        <w:ind w:firstLine="520"/>
        <w:jc w:val="both"/>
        <w:rPr>
          <w:rFonts w:hint="eastAsia" w:ascii="仿宋_GB2312" w:hAnsi="仿宋_GB2312" w:eastAsia="仿宋_GB2312" w:cs="仿宋_GB2312"/>
          <w:color w:val="auto"/>
          <w:sz w:val="28"/>
          <w:szCs w:val="28"/>
          <w:lang w:bidi="ar"/>
        </w:rPr>
      </w:pPr>
      <w:r>
        <w:rPr>
          <w:rFonts w:hint="eastAsia" w:ascii="仿宋_GB2312" w:hAnsi="仿宋_GB2312" w:eastAsia="仿宋_GB2312" w:cs="仿宋_GB2312"/>
          <w:color w:val="auto"/>
          <w:sz w:val="28"/>
          <w:szCs w:val="28"/>
          <w:lang w:val="en-US" w:eastAsia="zh-CN" w:bidi="ar"/>
        </w:rPr>
        <w:t>2、</w:t>
      </w:r>
      <w:r>
        <w:rPr>
          <w:rFonts w:hint="eastAsia" w:ascii="仿宋_GB2312" w:hAnsi="仿宋_GB2312" w:eastAsia="仿宋_GB2312" w:cs="仿宋_GB2312"/>
          <w:color w:val="auto"/>
          <w:sz w:val="28"/>
          <w:szCs w:val="28"/>
          <w:lang w:bidi="ar"/>
        </w:rPr>
        <w:t>固定资产台账未及时与资产</w:t>
      </w:r>
      <w:r>
        <w:rPr>
          <w:rFonts w:hint="eastAsia" w:ascii="仿宋_GB2312" w:hAnsi="仿宋_GB2312" w:eastAsia="仿宋_GB2312" w:cs="仿宋_GB2312"/>
          <w:color w:val="auto"/>
          <w:sz w:val="28"/>
          <w:szCs w:val="28"/>
          <w:lang w:eastAsia="zh-CN" w:bidi="ar"/>
        </w:rPr>
        <w:t>数量</w:t>
      </w:r>
      <w:r>
        <w:rPr>
          <w:rFonts w:hint="eastAsia" w:ascii="仿宋_GB2312" w:hAnsi="仿宋_GB2312" w:eastAsia="仿宋_GB2312" w:cs="仿宋_GB2312"/>
          <w:color w:val="auto"/>
          <w:sz w:val="28"/>
          <w:szCs w:val="28"/>
          <w:lang w:bidi="ar"/>
        </w:rPr>
        <w:t>对账</w:t>
      </w:r>
      <w:r>
        <w:rPr>
          <w:rFonts w:hint="eastAsia" w:ascii="仿宋_GB2312" w:hAnsi="仿宋_GB2312" w:eastAsia="仿宋_GB2312" w:cs="仿宋_GB2312"/>
          <w:color w:val="auto"/>
          <w:sz w:val="28"/>
          <w:szCs w:val="28"/>
          <w:lang w:eastAsia="zh-CN" w:bidi="ar"/>
        </w:rPr>
        <w:t>，</w:t>
      </w:r>
      <w:r>
        <w:rPr>
          <w:rFonts w:hint="eastAsia" w:ascii="仿宋_GB2312" w:hAnsi="仿宋_GB2312" w:eastAsia="仿宋_GB2312" w:cs="仿宋_GB2312"/>
          <w:color w:val="auto"/>
          <w:sz w:val="28"/>
          <w:szCs w:val="28"/>
          <w:lang w:val="en-US" w:eastAsia="zh-CN" w:bidi="ar"/>
        </w:rPr>
        <w:t>2021未</w:t>
      </w:r>
      <w:r>
        <w:rPr>
          <w:rFonts w:hint="eastAsia" w:ascii="仿宋_GB2312" w:hAnsi="仿宋_GB2312" w:eastAsia="仿宋_GB2312" w:cs="仿宋_GB2312"/>
          <w:color w:val="auto"/>
          <w:sz w:val="28"/>
          <w:szCs w:val="28"/>
          <w:lang w:bidi="ar"/>
        </w:rPr>
        <w:t>与实物进行清点及及时清理处置报废资产导致资产台账与账面资产</w:t>
      </w:r>
      <w:r>
        <w:rPr>
          <w:rFonts w:hint="eastAsia" w:ascii="仿宋_GB2312" w:hAnsi="仿宋_GB2312" w:eastAsia="仿宋_GB2312" w:cs="仿宋_GB2312"/>
          <w:color w:val="auto"/>
          <w:sz w:val="28"/>
          <w:szCs w:val="28"/>
          <w:lang w:eastAsia="zh-CN" w:bidi="ar"/>
        </w:rPr>
        <w:t>数量</w:t>
      </w:r>
      <w:r>
        <w:rPr>
          <w:rFonts w:hint="eastAsia" w:ascii="仿宋_GB2312" w:hAnsi="仿宋_GB2312" w:eastAsia="仿宋_GB2312" w:cs="仿宋_GB2312"/>
          <w:color w:val="auto"/>
          <w:sz w:val="28"/>
          <w:szCs w:val="28"/>
          <w:lang w:bidi="ar"/>
        </w:rPr>
        <w:t>存在差异,固定资产管理继续加强中。</w:t>
      </w:r>
      <w:bookmarkStart w:id="32" w:name="_Toc70450318"/>
    </w:p>
    <w:p>
      <w:pPr>
        <w:pStyle w:val="12"/>
        <w:widowControl/>
        <w:spacing w:before="0" w:beforeAutospacing="0" w:after="0" w:afterAutospacing="0" w:line="240" w:lineRule="auto"/>
        <w:ind w:firstLine="0"/>
        <w:jc w:val="both"/>
        <w:rPr>
          <w:rFonts w:hint="eastAsia" w:ascii="仿宋" w:hAnsi="仿宋" w:eastAsia="仿宋" w:cstheme="majorBidi"/>
          <w:b/>
          <w:bCs/>
          <w:color w:val="auto"/>
          <w:kern w:val="2"/>
          <w:sz w:val="36"/>
          <w:szCs w:val="36"/>
          <w:lang w:val="en-US" w:eastAsia="zh-CN" w:bidi="ar"/>
        </w:rPr>
      </w:pPr>
      <w:r>
        <w:rPr>
          <w:rFonts w:hint="eastAsia" w:ascii="仿宋" w:hAnsi="仿宋" w:eastAsia="仿宋" w:cstheme="majorBidi"/>
          <w:b/>
          <w:bCs/>
          <w:color w:val="auto"/>
          <w:kern w:val="2"/>
          <w:sz w:val="36"/>
          <w:szCs w:val="36"/>
          <w:lang w:val="en-US" w:eastAsia="zh-CN" w:bidi="ar"/>
        </w:rPr>
        <w:t>七、改进措施和建议</w:t>
      </w:r>
      <w:bookmarkEnd w:id="32"/>
    </w:p>
    <w:p>
      <w:pPr>
        <w:pStyle w:val="4"/>
        <w:numPr>
          <w:ilvl w:val="0"/>
          <w:numId w:val="4"/>
        </w:numPr>
        <w:spacing w:line="360" w:lineRule="auto"/>
        <w:rPr>
          <w:rFonts w:ascii="仿宋" w:hAnsi="仿宋" w:eastAsia="仿宋"/>
          <w:color w:val="auto"/>
          <w:sz w:val="22"/>
          <w:szCs w:val="28"/>
        </w:rPr>
      </w:pPr>
      <w:bookmarkStart w:id="33" w:name="_Toc70450319"/>
      <w:r>
        <w:rPr>
          <w:rStyle w:val="16"/>
          <w:rFonts w:hint="eastAsia" w:ascii="仿宋" w:hAnsi="仿宋" w:eastAsia="仿宋"/>
          <w:b/>
          <w:bCs/>
          <w:color w:val="auto"/>
        </w:rPr>
        <w:t>改进措施</w:t>
      </w:r>
      <w:bookmarkEnd w:id="33"/>
    </w:p>
    <w:p>
      <w:pPr>
        <w:pStyle w:val="4"/>
        <w:numPr>
          <w:ilvl w:val="0"/>
          <w:numId w:val="0"/>
        </w:numPr>
        <w:spacing w:line="360" w:lineRule="auto"/>
        <w:ind w:firstLine="560" w:firstLineChars="200"/>
        <w:rPr>
          <w:rFonts w:ascii="仿宋" w:hAnsi="仿宋" w:eastAsia="仿宋"/>
          <w:color w:val="auto"/>
          <w:sz w:val="22"/>
          <w:szCs w:val="28"/>
        </w:rPr>
      </w:pPr>
      <w:r>
        <w:rPr>
          <w:rStyle w:val="16"/>
          <w:rFonts w:hint="eastAsia" w:ascii="仿宋_GB2312" w:hAnsi="仿宋_GB2312" w:eastAsia="仿宋_GB2312" w:cs="仿宋_GB2312"/>
          <w:b w:val="0"/>
          <w:bCs w:val="0"/>
          <w:color w:val="auto"/>
          <w:sz w:val="28"/>
          <w:szCs w:val="28"/>
          <w:lang w:eastAsia="zh-CN"/>
        </w:rPr>
        <w:t>一是</w:t>
      </w:r>
      <w:r>
        <w:rPr>
          <w:rFonts w:hint="eastAsia" w:ascii="仿宋_GB2312" w:hAnsi="仿宋_GB2312" w:eastAsia="仿宋_GB2312" w:cs="仿宋_GB2312"/>
          <w:b w:val="0"/>
          <w:bCs w:val="0"/>
          <w:color w:val="auto"/>
          <w:sz w:val="28"/>
          <w:szCs w:val="28"/>
        </w:rPr>
        <w:t>进一步明确如何参照考核体系，科学合理设定绩效目标，充分发挥预算绩效管理工作效用。</w:t>
      </w:r>
      <w:r>
        <w:rPr>
          <w:rFonts w:hint="eastAsia" w:ascii="仿宋_GB2312" w:hAnsi="仿宋_GB2312" w:eastAsia="仿宋_GB2312" w:cs="仿宋_GB2312"/>
          <w:b w:val="0"/>
          <w:bCs w:val="0"/>
          <w:color w:val="auto"/>
          <w:sz w:val="28"/>
          <w:szCs w:val="28"/>
          <w:lang w:eastAsia="zh-CN"/>
        </w:rPr>
        <w:t>二是</w:t>
      </w:r>
      <w:r>
        <w:rPr>
          <w:rStyle w:val="16"/>
          <w:rFonts w:hint="eastAsia" w:ascii="仿宋_GB2312" w:hAnsi="仿宋_GB2312" w:eastAsia="仿宋_GB2312" w:cs="仿宋_GB2312"/>
          <w:b w:val="0"/>
          <w:bCs w:val="0"/>
          <w:color w:val="auto"/>
          <w:sz w:val="28"/>
          <w:szCs w:val="28"/>
        </w:rPr>
        <w:t>加强固定资产管理,及时登记、更新台账，加强资产卡片管理,对各类实物资产进行全面盘点,确保账账、账实相符</w:t>
      </w:r>
    </w:p>
    <w:p>
      <w:pPr>
        <w:pStyle w:val="4"/>
        <w:numPr>
          <w:ilvl w:val="0"/>
          <w:numId w:val="0"/>
        </w:numPr>
        <w:spacing w:line="360" w:lineRule="auto"/>
        <w:rPr>
          <w:rStyle w:val="16"/>
          <w:rFonts w:hint="eastAsia" w:ascii="仿宋" w:hAnsi="仿宋" w:eastAsia="仿宋"/>
          <w:b/>
          <w:bCs/>
          <w:color w:val="auto"/>
        </w:rPr>
      </w:pPr>
      <w:bookmarkStart w:id="34" w:name="_Toc70450320"/>
      <w:r>
        <w:rPr>
          <w:rStyle w:val="16"/>
          <w:rFonts w:hint="eastAsia" w:ascii="仿宋" w:hAnsi="仿宋" w:eastAsia="仿宋"/>
          <w:b/>
          <w:bCs/>
          <w:color w:val="auto"/>
        </w:rPr>
        <w:t>（二）建议</w:t>
      </w:r>
      <w:bookmarkEnd w:id="34"/>
    </w:p>
    <w:p>
      <w:pPr>
        <w:pStyle w:val="12"/>
        <w:widowControl/>
        <w:spacing w:before="40" w:beforeAutospacing="0" w:after="0" w:afterAutospacing="0" w:line="520" w:lineRule="atLeast"/>
        <w:ind w:firstLine="560" w:firstLineChars="200"/>
        <w:jc w:val="both"/>
        <w:rPr>
          <w:color w:val="auto"/>
          <w:sz w:val="28"/>
          <w:szCs w:val="28"/>
        </w:rPr>
      </w:pPr>
      <w:r>
        <w:rPr>
          <w:rFonts w:hint="eastAsia" w:ascii="仿宋_GB2312" w:hAnsi="仿宋_GB2312" w:eastAsia="仿宋_GB2312" w:cs="仿宋_GB2312"/>
          <w:color w:val="auto"/>
          <w:sz w:val="28"/>
          <w:szCs w:val="28"/>
        </w:rPr>
        <w:t>从源头上强化对专项资金预算管理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专项资金的使用，要事前做计划，事中进行控制，事后总结提高。合理安排资金使用,充分体现资金投向的目标和效益。</w:t>
      </w:r>
    </w:p>
    <w:p>
      <w:pPr>
        <w:pStyle w:val="3"/>
        <w:spacing w:line="360" w:lineRule="auto"/>
        <w:rPr>
          <w:rStyle w:val="16"/>
          <w:rFonts w:ascii="仿宋" w:hAnsi="仿宋" w:eastAsia="仿宋"/>
          <w:b/>
          <w:bCs/>
          <w:color w:val="auto"/>
          <w:sz w:val="36"/>
          <w:szCs w:val="36"/>
        </w:rPr>
      </w:pPr>
      <w:bookmarkStart w:id="35" w:name="_Toc70450321"/>
      <w:r>
        <w:rPr>
          <w:rStyle w:val="16"/>
          <w:rFonts w:hint="eastAsia" w:ascii="仿宋" w:hAnsi="仿宋" w:eastAsia="仿宋"/>
          <w:b/>
          <w:bCs/>
          <w:color w:val="auto"/>
          <w:sz w:val="36"/>
          <w:szCs w:val="36"/>
        </w:rPr>
        <w:t>八、附表</w:t>
      </w:r>
      <w:r>
        <w:rPr>
          <w:rStyle w:val="16"/>
          <w:rFonts w:hint="eastAsia" w:ascii="仿宋" w:hAnsi="仿宋" w:eastAsia="仿宋"/>
          <w:b w:val="0"/>
          <w:bCs w:val="0"/>
          <w:color w:val="auto"/>
          <w:spacing w:val="-4"/>
          <w:sz w:val="36"/>
          <w:szCs w:val="36"/>
        </w:rPr>
        <w:t>：</w:t>
      </w:r>
      <w:bookmarkStart w:id="36" w:name="_Hlk70450148"/>
      <w:r>
        <w:rPr>
          <w:rStyle w:val="16"/>
          <w:rFonts w:hint="eastAsia" w:ascii="仿宋" w:hAnsi="仿宋" w:eastAsia="仿宋"/>
          <w:b/>
          <w:bCs/>
          <w:color w:val="auto"/>
          <w:sz w:val="36"/>
          <w:szCs w:val="36"/>
        </w:rPr>
        <w:t>《部门整体支出绩效目标自评表》</w:t>
      </w:r>
      <w:bookmarkEnd w:id="35"/>
      <w:bookmarkEnd w:id="36"/>
    </w:p>
    <w:p>
      <w:pPr>
        <w:rPr>
          <w:rFonts w:asciiTheme="minorEastAsia" w:hAnsiTheme="minorEastAsia"/>
          <w:b/>
          <w:bCs/>
          <w:color w:val="auto"/>
          <w:sz w:val="28"/>
          <w:szCs w:val="36"/>
        </w:rPr>
      </w:pPr>
    </w:p>
    <w:p>
      <w:pPr>
        <w:rPr>
          <w:color w:val="auto"/>
        </w:rPr>
      </w:pPr>
      <w:r>
        <w:rPr>
          <w:color w:val="auto"/>
        </w:rPr>
        <w:br w:type="page"/>
      </w:r>
    </w:p>
    <w:tbl>
      <w:tblPr>
        <w:tblStyle w:val="14"/>
        <w:tblW w:w="8429" w:type="dxa"/>
        <w:tblInd w:w="93" w:type="dxa"/>
        <w:tblLayout w:type="fixed"/>
        <w:tblCellMar>
          <w:top w:w="0" w:type="dxa"/>
          <w:left w:w="108" w:type="dxa"/>
          <w:bottom w:w="0" w:type="dxa"/>
          <w:right w:w="108" w:type="dxa"/>
        </w:tblCellMar>
      </w:tblPr>
      <w:tblGrid>
        <w:gridCol w:w="751"/>
        <w:gridCol w:w="1144"/>
        <w:gridCol w:w="1704"/>
        <w:gridCol w:w="805"/>
        <w:gridCol w:w="805"/>
        <w:gridCol w:w="805"/>
        <w:gridCol w:w="805"/>
        <w:gridCol w:w="402"/>
        <w:gridCol w:w="403"/>
        <w:gridCol w:w="805"/>
      </w:tblGrid>
      <w:tr>
        <w:tblPrEx>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color w:val="auto"/>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895"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534"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4"/>
                <w:szCs w:val="24"/>
                <w:u w:val="none"/>
                <w:lang w:val="en-US" w:eastAsia="zh-CN" w:bidi="ar"/>
              </w:rPr>
              <w:t>特克斯县退役军人事务局</w:t>
            </w:r>
          </w:p>
        </w:tc>
      </w:tr>
      <w:tr>
        <w:tblPrEx>
          <w:tblCellMar>
            <w:top w:w="0" w:type="dxa"/>
            <w:left w:w="108" w:type="dxa"/>
            <w:bottom w:w="0" w:type="dxa"/>
            <w:right w:w="108" w:type="dxa"/>
          </w:tblCellMar>
        </w:tblPrEx>
        <w:trPr>
          <w:trHeight w:val="285" w:hRule="atLeast"/>
        </w:trPr>
        <w:tc>
          <w:tcPr>
            <w:tcW w:w="751"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4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70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415"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415"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70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8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8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8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8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805"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8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704"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工资福利支出主要包括基本工资、津贴补贴、奖金、机关事业单位基本养老保险缴费、其他社会保障缴费等;对个人和家庭的补助支出包括生活补助等。</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71.57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71.57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71.57 </w:t>
            </w:r>
          </w:p>
        </w:tc>
        <w:tc>
          <w:tcPr>
            <w:tcW w:w="80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71.57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1704"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商品和服务支出包括办公费、水费、电费、邮电费、取暖费、差旅费、公务用车运行维修费等。</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2.90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2.90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0.00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rPr>
            </w:pPr>
            <w:r>
              <w:rPr>
                <w:rFonts w:hint="eastAsia" w:ascii="宋体" w:hAnsi="宋体" w:eastAsia="宋体" w:cs="宋体"/>
                <w:i w:val="0"/>
                <w:iCs w:val="0"/>
                <w:color w:val="000000"/>
                <w:kern w:val="0"/>
                <w:sz w:val="20"/>
                <w:szCs w:val="20"/>
                <w:u w:val="none"/>
                <w:lang w:val="en-US" w:eastAsia="zh-CN" w:bidi="ar"/>
              </w:rPr>
              <w:t xml:space="preserve">2.90 </w:t>
            </w:r>
          </w:p>
        </w:tc>
        <w:tc>
          <w:tcPr>
            <w:tcW w:w="80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2.90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284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74.47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74.47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0.00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74.47 </w:t>
            </w:r>
          </w:p>
        </w:tc>
        <w:tc>
          <w:tcPr>
            <w:tcW w:w="80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 xml:space="preserve">74.47 </w:t>
            </w:r>
          </w:p>
        </w:tc>
        <w:tc>
          <w:tcPr>
            <w:tcW w:w="8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51"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6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025"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3653"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1.按时按规定发放在职人员的各项工资、津补贴和奖金;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2.对办公场所需的水、电、暖、燃油等公务性支出提供资金保障;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3.严格落实中央“八项规定”，大力压减“三公”经费支出.</w:t>
            </w:r>
          </w:p>
        </w:tc>
        <w:tc>
          <w:tcPr>
            <w:tcW w:w="4025"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 xml:space="preserve">1.已经按时按规定发放在职人员的各项工资、津补贴和奖金;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2.已对对办公场所需的水、电、暖、燃油等公务性支出提供资金保障;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3.已经严格落实中央“八项规定”，大力压减“三公”经费支出.</w:t>
            </w:r>
          </w:p>
        </w:tc>
      </w:tr>
      <w:tr>
        <w:tblPrEx>
          <w:tblCellMar>
            <w:top w:w="0" w:type="dxa"/>
            <w:left w:w="108" w:type="dxa"/>
            <w:bottom w:w="0" w:type="dxa"/>
            <w:right w:w="108" w:type="dxa"/>
          </w:tblCellMar>
        </w:tblPrEx>
        <w:trPr>
          <w:trHeight w:val="285" w:hRule="atLeast"/>
        </w:trPr>
        <w:tc>
          <w:tcPr>
            <w:tcW w:w="751"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4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704"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20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0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070" w:hRule="atLeast"/>
        </w:trPr>
        <w:tc>
          <w:tcPr>
            <w:tcW w:w="75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114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704"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415"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保障在职人员人数</w:t>
            </w:r>
          </w:p>
        </w:tc>
        <w:tc>
          <w:tcPr>
            <w:tcW w:w="120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≥7人</w:t>
            </w:r>
          </w:p>
        </w:tc>
        <w:tc>
          <w:tcPr>
            <w:tcW w:w="120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7人</w:t>
            </w:r>
          </w:p>
        </w:tc>
      </w:tr>
      <w:tr>
        <w:tblPrEx>
          <w:tblCellMar>
            <w:top w:w="0" w:type="dxa"/>
            <w:left w:w="108" w:type="dxa"/>
            <w:bottom w:w="0" w:type="dxa"/>
            <w:right w:w="108" w:type="dxa"/>
          </w:tblCellMar>
        </w:tblPrEx>
        <w:trPr>
          <w:trHeight w:val="885" w:hRule="atLeast"/>
        </w:trPr>
        <w:tc>
          <w:tcPr>
            <w:tcW w:w="75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704"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kern w:val="0"/>
                <w:sz w:val="24"/>
              </w:rPr>
            </w:pPr>
          </w:p>
        </w:tc>
        <w:tc>
          <w:tcPr>
            <w:tcW w:w="2415"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工资、福利发放次数</w:t>
            </w:r>
          </w:p>
        </w:tc>
        <w:tc>
          <w:tcPr>
            <w:tcW w:w="120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≥12次</w:t>
            </w:r>
          </w:p>
        </w:tc>
        <w:tc>
          <w:tcPr>
            <w:tcW w:w="120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12次</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704"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办公场所正常运转率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=100%</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color w:val="auto"/>
                <w:kern w:val="0"/>
                <w:sz w:val="24"/>
              </w:rPr>
            </w:pPr>
          </w:p>
        </w:tc>
        <w:tc>
          <w:tcPr>
            <w:tcW w:w="1704"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color w:val="auto"/>
                <w:kern w:val="0"/>
                <w:sz w:val="24"/>
              </w:rPr>
            </w:pP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工资、津补贴和奖金发放覆盖率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auto"/>
                <w:kern w:val="0"/>
                <w:sz w:val="22"/>
                <w:szCs w:val="22"/>
                <w:lang w:val="en-US" w:eastAsia="zh-CN"/>
              </w:rPr>
            </w:pPr>
            <w:r>
              <w:rPr>
                <w:rFonts w:hint="eastAsia" w:ascii="宋体" w:hAnsi="宋体" w:eastAsia="宋体" w:cs="宋体"/>
                <w:i w:val="0"/>
                <w:iCs w:val="0"/>
                <w:color w:val="000000"/>
                <w:kern w:val="0"/>
                <w:sz w:val="20"/>
                <w:szCs w:val="20"/>
                <w:u w:val="none"/>
                <w:lang w:val="en-US" w:eastAsia="zh-CN" w:bidi="ar"/>
              </w:rPr>
              <w:t>=100%</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704"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人员经费发放及时率</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auto"/>
                <w:kern w:val="0"/>
                <w:sz w:val="22"/>
                <w:szCs w:val="22"/>
                <w:lang w:val="en-US" w:eastAsia="zh-CN"/>
              </w:rPr>
            </w:pPr>
            <w:r>
              <w:rPr>
                <w:rFonts w:hint="eastAsia" w:ascii="宋体" w:hAnsi="宋体" w:eastAsia="宋体" w:cs="宋体"/>
                <w:i w:val="0"/>
                <w:iCs w:val="0"/>
                <w:color w:val="000000"/>
                <w:kern w:val="0"/>
                <w:sz w:val="20"/>
                <w:szCs w:val="20"/>
                <w:u w:val="none"/>
                <w:lang w:val="en-US" w:eastAsia="zh-CN" w:bidi="ar"/>
              </w:rPr>
              <w:t>=100%</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color w:val="auto"/>
                <w:kern w:val="0"/>
                <w:sz w:val="24"/>
              </w:rPr>
            </w:pPr>
          </w:p>
        </w:tc>
        <w:tc>
          <w:tcPr>
            <w:tcW w:w="1704"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color w:val="auto"/>
                <w:kern w:val="0"/>
                <w:sz w:val="24"/>
              </w:rPr>
            </w:pP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办公经费支出及时性</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auto"/>
                <w:kern w:val="0"/>
                <w:sz w:val="22"/>
                <w:szCs w:val="22"/>
                <w:lang w:val="en-US" w:eastAsia="zh-CN"/>
              </w:rPr>
            </w:pPr>
            <w:r>
              <w:rPr>
                <w:rFonts w:hint="eastAsia" w:ascii="宋体" w:hAnsi="宋体" w:eastAsia="宋体" w:cs="宋体"/>
                <w:i w:val="0"/>
                <w:iCs w:val="0"/>
                <w:color w:val="000000"/>
                <w:kern w:val="0"/>
                <w:sz w:val="20"/>
                <w:szCs w:val="20"/>
                <w:u w:val="none"/>
                <w:lang w:val="en-US" w:eastAsia="zh-CN" w:bidi="ar"/>
              </w:rPr>
              <w:t>=100%</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704"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人均工资福利支出</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　≦10.22万元/人</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10.22万元/人</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color w:val="auto"/>
                <w:kern w:val="0"/>
                <w:sz w:val="24"/>
              </w:rPr>
            </w:pPr>
          </w:p>
        </w:tc>
        <w:tc>
          <w:tcPr>
            <w:tcW w:w="1704"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color w:val="auto"/>
                <w:kern w:val="0"/>
                <w:sz w:val="24"/>
              </w:rPr>
            </w:pP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人均运转经费</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　≦0.41万元/人</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0.41万元/人</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704"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415" w:type="dxa"/>
            <w:gridSpan w:val="3"/>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 保障各项业务有序推进</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有效保障</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有效保障</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color w:val="auto"/>
                <w:kern w:val="0"/>
                <w:sz w:val="24"/>
              </w:rPr>
            </w:pPr>
          </w:p>
        </w:tc>
        <w:tc>
          <w:tcPr>
            <w:tcW w:w="1704"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color w:val="auto"/>
                <w:kern w:val="0"/>
                <w:sz w:val="24"/>
              </w:rPr>
            </w:pP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 提高服务质量</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有效提升</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有效提升</w:t>
            </w:r>
          </w:p>
        </w:tc>
      </w:tr>
      <w:tr>
        <w:tblPrEx>
          <w:tblCellMar>
            <w:top w:w="0" w:type="dxa"/>
            <w:left w:w="108" w:type="dxa"/>
            <w:bottom w:w="0" w:type="dxa"/>
            <w:right w:w="108" w:type="dxa"/>
          </w:tblCellMar>
        </w:tblPrEx>
        <w:trPr>
          <w:trHeight w:val="90"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kern w:val="0"/>
                <w:sz w:val="24"/>
              </w:rPr>
            </w:pPr>
          </w:p>
        </w:tc>
        <w:tc>
          <w:tcPr>
            <w:tcW w:w="170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可持续影响指标</w:t>
            </w: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促进退役军人事务工作的健康发展</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有效促进</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有效促进</w:t>
            </w:r>
          </w:p>
        </w:tc>
      </w:tr>
      <w:tr>
        <w:tblPrEx>
          <w:tblCellMar>
            <w:top w:w="0" w:type="dxa"/>
            <w:left w:w="108" w:type="dxa"/>
            <w:bottom w:w="0" w:type="dxa"/>
            <w:right w:w="108" w:type="dxa"/>
          </w:tblCellMar>
        </w:tblPrEx>
        <w:trPr>
          <w:trHeight w:val="285"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color w:val="auto"/>
                <w:kern w:val="0"/>
                <w:sz w:val="24"/>
              </w:rPr>
            </w:pPr>
          </w:p>
        </w:tc>
        <w:tc>
          <w:tcPr>
            <w:tcW w:w="114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704"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41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auto"/>
                <w:kern w:val="0"/>
                <w:sz w:val="24"/>
              </w:rPr>
            </w:pPr>
            <w:r>
              <w:rPr>
                <w:rFonts w:hint="eastAsia" w:ascii="宋体" w:hAnsi="宋体" w:eastAsia="宋体" w:cs="宋体"/>
                <w:i w:val="0"/>
                <w:iCs w:val="0"/>
                <w:color w:val="000000"/>
                <w:kern w:val="0"/>
                <w:sz w:val="20"/>
                <w:szCs w:val="20"/>
                <w:u w:val="none"/>
                <w:lang w:val="en-US" w:eastAsia="zh-CN" w:bidi="ar"/>
              </w:rPr>
              <w:t xml:space="preserve"> 单位职工满意度</w:t>
            </w:r>
          </w:p>
        </w:tc>
        <w:tc>
          <w:tcPr>
            <w:tcW w:w="120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auto"/>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20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bl>
    <w:p>
      <w:pPr>
        <w:rPr>
          <w:rFonts w:ascii="仿宋" w:hAnsi="仿宋" w:eastAsia="仿宋" w:cs="宋体"/>
          <w:color w:val="auto"/>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895C17"/>
    <w:multiLevelType w:val="singleLevel"/>
    <w:tmpl w:val="CE895C17"/>
    <w:lvl w:ilvl="0" w:tentative="0">
      <w:start w:val="1"/>
      <w:numFmt w:val="chineseCounting"/>
      <w:suff w:val="nothing"/>
      <w:lvlText w:val="（%1）"/>
      <w:lvlJc w:val="left"/>
      <w:rPr>
        <w:rFonts w:hint="eastAsia"/>
      </w:rPr>
    </w:lvl>
  </w:abstractNum>
  <w:abstractNum w:abstractNumId="1">
    <w:nsid w:val="DEE51A4C"/>
    <w:multiLevelType w:val="singleLevel"/>
    <w:tmpl w:val="DEE51A4C"/>
    <w:lvl w:ilvl="0" w:tentative="0">
      <w:start w:val="3"/>
      <w:numFmt w:val="decimal"/>
      <w:suff w:val="nothing"/>
      <w:lvlText w:val="%1、"/>
      <w:lvlJc w:val="left"/>
    </w:lvl>
  </w:abstractNum>
  <w:abstractNum w:abstractNumId="2">
    <w:nsid w:val="1905BFF0"/>
    <w:multiLevelType w:val="singleLevel"/>
    <w:tmpl w:val="1905BFF0"/>
    <w:lvl w:ilvl="0" w:tentative="0">
      <w:start w:val="1"/>
      <w:numFmt w:val="decimal"/>
      <w:suff w:val="nothing"/>
      <w:lvlText w:val="（%1）"/>
      <w:lvlJc w:val="left"/>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1F7103"/>
    <w:rsid w:val="03A14D05"/>
    <w:rsid w:val="04580FB6"/>
    <w:rsid w:val="04862ABE"/>
    <w:rsid w:val="04C405FA"/>
    <w:rsid w:val="05156698"/>
    <w:rsid w:val="09D64770"/>
    <w:rsid w:val="09DB7930"/>
    <w:rsid w:val="09DE3FA8"/>
    <w:rsid w:val="0A3641F3"/>
    <w:rsid w:val="0C2558C6"/>
    <w:rsid w:val="0C655B97"/>
    <w:rsid w:val="0D5744F9"/>
    <w:rsid w:val="0E9A5E97"/>
    <w:rsid w:val="0F0D50AF"/>
    <w:rsid w:val="0F522A0D"/>
    <w:rsid w:val="10023FB0"/>
    <w:rsid w:val="1038583D"/>
    <w:rsid w:val="16C6742D"/>
    <w:rsid w:val="180B3521"/>
    <w:rsid w:val="1865784B"/>
    <w:rsid w:val="1C3824E2"/>
    <w:rsid w:val="1CC15E7D"/>
    <w:rsid w:val="1D1103DC"/>
    <w:rsid w:val="1D513D21"/>
    <w:rsid w:val="1E2F43F3"/>
    <w:rsid w:val="1EB60E4D"/>
    <w:rsid w:val="1F2C62BA"/>
    <w:rsid w:val="20FD4B16"/>
    <w:rsid w:val="22042AFB"/>
    <w:rsid w:val="23426ECC"/>
    <w:rsid w:val="23E55261"/>
    <w:rsid w:val="24232BB3"/>
    <w:rsid w:val="249C7E81"/>
    <w:rsid w:val="26C0409D"/>
    <w:rsid w:val="27563D09"/>
    <w:rsid w:val="28C21B5B"/>
    <w:rsid w:val="28D45149"/>
    <w:rsid w:val="29113663"/>
    <w:rsid w:val="29835040"/>
    <w:rsid w:val="2A0B49FE"/>
    <w:rsid w:val="2B494BB5"/>
    <w:rsid w:val="2BA75A28"/>
    <w:rsid w:val="2C3A0A21"/>
    <w:rsid w:val="2C573A0A"/>
    <w:rsid w:val="2D6C51B7"/>
    <w:rsid w:val="2F1E35B6"/>
    <w:rsid w:val="2F9E500E"/>
    <w:rsid w:val="2FCD69D9"/>
    <w:rsid w:val="31D017DC"/>
    <w:rsid w:val="32242C66"/>
    <w:rsid w:val="33E66341"/>
    <w:rsid w:val="35655E4F"/>
    <w:rsid w:val="36936684"/>
    <w:rsid w:val="3798100A"/>
    <w:rsid w:val="39211E90"/>
    <w:rsid w:val="3B1C361D"/>
    <w:rsid w:val="3BDD77EA"/>
    <w:rsid w:val="3C71786B"/>
    <w:rsid w:val="3F3C317F"/>
    <w:rsid w:val="4108268A"/>
    <w:rsid w:val="417A2456"/>
    <w:rsid w:val="427A7786"/>
    <w:rsid w:val="428F3774"/>
    <w:rsid w:val="44340CB7"/>
    <w:rsid w:val="44F62711"/>
    <w:rsid w:val="4547210A"/>
    <w:rsid w:val="45E2601F"/>
    <w:rsid w:val="46C74040"/>
    <w:rsid w:val="47855F9F"/>
    <w:rsid w:val="47B05C7F"/>
    <w:rsid w:val="4809797B"/>
    <w:rsid w:val="48C21152"/>
    <w:rsid w:val="48D50918"/>
    <w:rsid w:val="49737AF3"/>
    <w:rsid w:val="4B15140F"/>
    <w:rsid w:val="4B690E1D"/>
    <w:rsid w:val="4BB54111"/>
    <w:rsid w:val="4D3272A7"/>
    <w:rsid w:val="4E884D56"/>
    <w:rsid w:val="4F7E0E10"/>
    <w:rsid w:val="52334368"/>
    <w:rsid w:val="52FA24B3"/>
    <w:rsid w:val="53991147"/>
    <w:rsid w:val="54924F8D"/>
    <w:rsid w:val="54C76928"/>
    <w:rsid w:val="55117D3F"/>
    <w:rsid w:val="55694A75"/>
    <w:rsid w:val="58C443E2"/>
    <w:rsid w:val="590F51D8"/>
    <w:rsid w:val="5A82086E"/>
    <w:rsid w:val="5AD24A13"/>
    <w:rsid w:val="5B940B88"/>
    <w:rsid w:val="5D1D35AD"/>
    <w:rsid w:val="5DB21FBD"/>
    <w:rsid w:val="5E3A4B3D"/>
    <w:rsid w:val="5E547D35"/>
    <w:rsid w:val="5FD04A59"/>
    <w:rsid w:val="64D63EF7"/>
    <w:rsid w:val="666328A2"/>
    <w:rsid w:val="6A1C1708"/>
    <w:rsid w:val="6ADD2037"/>
    <w:rsid w:val="6E184CE4"/>
    <w:rsid w:val="6ED841CE"/>
    <w:rsid w:val="701F1470"/>
    <w:rsid w:val="70B60D76"/>
    <w:rsid w:val="738C19BD"/>
    <w:rsid w:val="745C30F5"/>
    <w:rsid w:val="752364BB"/>
    <w:rsid w:val="76857B1B"/>
    <w:rsid w:val="768E1FF6"/>
    <w:rsid w:val="77513232"/>
    <w:rsid w:val="777B38EF"/>
    <w:rsid w:val="77B440B2"/>
    <w:rsid w:val="78E9364E"/>
    <w:rsid w:val="79384176"/>
    <w:rsid w:val="7B9724EA"/>
    <w:rsid w:val="7CAD27A8"/>
    <w:rsid w:val="7CD769AF"/>
    <w:rsid w:val="7D6219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9896</Words>
  <Characters>10611</Characters>
  <Lines>72</Lines>
  <Paragraphs>20</Paragraphs>
  <TotalTime>2</TotalTime>
  <ScaleCrop>false</ScaleCrop>
  <LinksUpToDate>false</LinksUpToDate>
  <CharactersWithSpaces>11047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2022-05-25T02:39:07Z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A8133EA6D5474A83B6499EE82257E2EF</vt:lpwstr>
  </property>
</Properties>
</file>